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35E1" w:rsidRDefault="007935E1" w:rsidP="00A00BAA">
      <w:pPr>
        <w:rPr>
          <w:rFonts w:eastAsia="Times New Roman" w:cs="Times New Roman"/>
          <w:sz w:val="24"/>
          <w:lang w:eastAsia="fr-FR"/>
        </w:rPr>
      </w:pPr>
    </w:p>
    <w:p w:rsidR="00216268" w:rsidRDefault="00216268" w:rsidP="00A00BAA">
      <w:pPr>
        <w:pStyle w:val="Titre"/>
        <w:rPr>
          <w:rFonts w:eastAsia="Times New Roman"/>
          <w:lang w:eastAsia="fr-FR"/>
        </w:rPr>
      </w:pPr>
    </w:p>
    <w:p w:rsidR="0012327C" w:rsidRDefault="002D5221" w:rsidP="00A00BAA">
      <w:pPr>
        <w:pStyle w:val="Titre"/>
        <w:jc w:val="center"/>
        <w:rPr>
          <w:rFonts w:eastAsia="Times New Roman"/>
          <w:lang w:eastAsia="fr-FR"/>
        </w:rPr>
      </w:pPr>
      <w:r w:rsidRPr="002D5221">
        <w:rPr>
          <w:rFonts w:eastAsia="Times New Roman"/>
          <w:lang w:eastAsia="fr-FR"/>
        </w:rPr>
        <w:t>PROJET DE RECHERCHE</w:t>
      </w:r>
    </w:p>
    <w:p w:rsidR="0012327C" w:rsidRDefault="0012327C" w:rsidP="00A00BAA">
      <w:pPr>
        <w:pStyle w:val="Titre"/>
        <w:jc w:val="center"/>
        <w:rPr>
          <w:rFonts w:eastAsia="Times New Roman"/>
          <w:lang w:eastAsia="fr-FR"/>
        </w:rPr>
      </w:pPr>
    </w:p>
    <w:p w:rsidR="0012327C" w:rsidRPr="0012327C" w:rsidRDefault="0012327C" w:rsidP="00A00BAA">
      <w:pPr>
        <w:pStyle w:val="Titre"/>
        <w:jc w:val="center"/>
        <w:rPr>
          <w:rFonts w:eastAsia="Times New Roman"/>
          <w:sz w:val="24"/>
          <w:szCs w:val="24"/>
          <w:lang w:eastAsia="fr-FR"/>
        </w:rPr>
      </w:pPr>
      <w:r w:rsidRPr="0012327C">
        <w:rPr>
          <w:rFonts w:eastAsia="Times New Roman"/>
          <w:sz w:val="24"/>
          <w:szCs w:val="24"/>
          <w:lang w:eastAsia="fr-FR"/>
        </w:rPr>
        <w:t>AAP 2012 "Pratiques interculturelles dans les institutions patrimoniales"</w:t>
      </w:r>
    </w:p>
    <w:p w:rsidR="0012327C" w:rsidRDefault="0012327C" w:rsidP="00A00BAA">
      <w:pPr>
        <w:pStyle w:val="Titre"/>
        <w:jc w:val="center"/>
        <w:rPr>
          <w:rFonts w:eastAsia="Times New Roman"/>
          <w:b/>
          <w:lang w:eastAsia="fr-FR"/>
        </w:rPr>
      </w:pPr>
    </w:p>
    <w:p w:rsidR="0012327C" w:rsidRPr="0012327C" w:rsidRDefault="0012327C" w:rsidP="00A00BAA">
      <w:pPr>
        <w:jc w:val="center"/>
        <w:rPr>
          <w:lang w:eastAsia="fr-FR"/>
        </w:rPr>
      </w:pPr>
    </w:p>
    <w:p w:rsidR="0012327C" w:rsidRDefault="002D5221" w:rsidP="00A00BAA">
      <w:pPr>
        <w:pStyle w:val="Titre"/>
        <w:jc w:val="center"/>
        <w:rPr>
          <w:rFonts w:eastAsia="Times New Roman"/>
          <w:b/>
          <w:sz w:val="40"/>
          <w:szCs w:val="40"/>
          <w:lang w:eastAsia="fr-FR"/>
        </w:rPr>
      </w:pPr>
      <w:r w:rsidRPr="0012327C">
        <w:rPr>
          <w:rFonts w:eastAsia="Times New Roman"/>
          <w:b/>
          <w:sz w:val="40"/>
          <w:szCs w:val="40"/>
          <w:lang w:eastAsia="fr-FR"/>
        </w:rPr>
        <w:t>Pratiques muséales, politiques autochtones et tr</w:t>
      </w:r>
      <w:r w:rsidR="0012327C" w:rsidRPr="0012327C">
        <w:rPr>
          <w:rFonts w:eastAsia="Times New Roman"/>
          <w:b/>
          <w:sz w:val="40"/>
          <w:szCs w:val="40"/>
          <w:lang w:eastAsia="fr-FR"/>
        </w:rPr>
        <w:t>avail des identités culturelles</w:t>
      </w:r>
    </w:p>
    <w:p w:rsidR="0012327C" w:rsidRDefault="002D5221" w:rsidP="00A00BAA">
      <w:pPr>
        <w:pStyle w:val="Titre"/>
        <w:jc w:val="center"/>
        <w:rPr>
          <w:rFonts w:eastAsia="Times New Roman"/>
          <w:b/>
          <w:sz w:val="40"/>
          <w:szCs w:val="40"/>
          <w:lang w:eastAsia="fr-FR"/>
        </w:rPr>
      </w:pPr>
      <w:proofErr w:type="gramStart"/>
      <w:r w:rsidRPr="0012327C">
        <w:rPr>
          <w:rFonts w:eastAsia="Times New Roman"/>
          <w:b/>
          <w:sz w:val="40"/>
          <w:szCs w:val="40"/>
          <w:lang w:eastAsia="fr-FR"/>
        </w:rPr>
        <w:t>dans</w:t>
      </w:r>
      <w:proofErr w:type="gramEnd"/>
      <w:r w:rsidRPr="0012327C">
        <w:rPr>
          <w:rFonts w:eastAsia="Times New Roman"/>
          <w:b/>
          <w:sz w:val="40"/>
          <w:szCs w:val="40"/>
          <w:lang w:eastAsia="fr-FR"/>
        </w:rPr>
        <w:t xml:space="preserve"> l’exp</w:t>
      </w:r>
      <w:r w:rsidR="0012327C" w:rsidRPr="0012327C">
        <w:rPr>
          <w:rFonts w:eastAsia="Times New Roman"/>
          <w:b/>
          <w:sz w:val="40"/>
          <w:szCs w:val="40"/>
          <w:lang w:eastAsia="fr-FR"/>
        </w:rPr>
        <w:t xml:space="preserve">osition itinérante « E </w:t>
      </w:r>
      <w:proofErr w:type="spellStart"/>
      <w:r w:rsidR="0012327C" w:rsidRPr="0012327C">
        <w:rPr>
          <w:rFonts w:eastAsia="Times New Roman"/>
          <w:b/>
          <w:sz w:val="40"/>
          <w:szCs w:val="40"/>
          <w:lang w:eastAsia="fr-FR"/>
        </w:rPr>
        <w:t>tū</w:t>
      </w:r>
      <w:proofErr w:type="spellEnd"/>
      <w:r w:rsidR="0012327C" w:rsidRPr="0012327C">
        <w:rPr>
          <w:rFonts w:eastAsia="Times New Roman"/>
          <w:b/>
          <w:sz w:val="40"/>
          <w:szCs w:val="40"/>
          <w:lang w:eastAsia="fr-FR"/>
        </w:rPr>
        <w:t xml:space="preserve"> </w:t>
      </w:r>
      <w:proofErr w:type="spellStart"/>
      <w:r w:rsidR="0012327C" w:rsidRPr="0012327C">
        <w:rPr>
          <w:rFonts w:eastAsia="Times New Roman"/>
          <w:b/>
          <w:sz w:val="40"/>
          <w:szCs w:val="40"/>
          <w:lang w:eastAsia="fr-FR"/>
        </w:rPr>
        <w:t>Ake</w:t>
      </w:r>
      <w:proofErr w:type="spellEnd"/>
      <w:r w:rsidR="0012327C" w:rsidRPr="0012327C">
        <w:rPr>
          <w:rFonts w:eastAsia="Times New Roman"/>
          <w:b/>
          <w:sz w:val="40"/>
          <w:szCs w:val="40"/>
          <w:lang w:eastAsia="fr-FR"/>
        </w:rPr>
        <w:t> »</w:t>
      </w:r>
    </w:p>
    <w:p w:rsidR="002D5221" w:rsidRPr="0012327C" w:rsidRDefault="002D5221" w:rsidP="00A00BAA">
      <w:pPr>
        <w:pStyle w:val="Titre"/>
        <w:jc w:val="center"/>
        <w:rPr>
          <w:rFonts w:eastAsia="Times New Roman"/>
          <w:b/>
          <w:sz w:val="40"/>
          <w:szCs w:val="40"/>
          <w:lang w:eastAsia="fr-FR"/>
        </w:rPr>
      </w:pPr>
      <w:r w:rsidRPr="0012327C">
        <w:rPr>
          <w:rFonts w:eastAsia="Times New Roman"/>
          <w:b/>
          <w:sz w:val="40"/>
          <w:szCs w:val="40"/>
          <w:lang w:eastAsia="fr-FR"/>
        </w:rPr>
        <w:t>(Nouvelle Zélande, France, Canada), 2011-2014.</w:t>
      </w:r>
    </w:p>
    <w:p w:rsidR="0012327C" w:rsidRDefault="0012327C" w:rsidP="00A00BAA">
      <w:pPr>
        <w:pStyle w:val="Titre"/>
        <w:jc w:val="center"/>
        <w:rPr>
          <w:rFonts w:eastAsia="Times New Roman"/>
          <w:lang w:eastAsia="fr-FR"/>
        </w:rPr>
      </w:pPr>
    </w:p>
    <w:p w:rsidR="0012327C" w:rsidRDefault="0012327C" w:rsidP="00A00BAA">
      <w:pPr>
        <w:pStyle w:val="Titre"/>
        <w:jc w:val="center"/>
        <w:rPr>
          <w:rFonts w:eastAsia="Times New Roman"/>
          <w:lang w:eastAsia="fr-FR"/>
        </w:rPr>
      </w:pPr>
      <w:r>
        <w:rPr>
          <w:rFonts w:eastAsia="Times New Roman"/>
          <w:lang w:eastAsia="fr-FR"/>
        </w:rPr>
        <w:t>Rapport final</w:t>
      </w:r>
    </w:p>
    <w:p w:rsidR="0012327C" w:rsidRDefault="0012327C" w:rsidP="00A00BAA">
      <w:pPr>
        <w:pStyle w:val="Titre"/>
        <w:jc w:val="center"/>
        <w:rPr>
          <w:rFonts w:ascii="Calibri" w:eastAsia="Times New Roman" w:hAnsi="Calibri" w:cs="Times New Roman"/>
          <w:sz w:val="24"/>
          <w:lang w:eastAsia="fr-FR"/>
        </w:rPr>
      </w:pPr>
      <w:r>
        <w:rPr>
          <w:rFonts w:eastAsia="Times New Roman"/>
          <w:lang w:eastAsia="fr-FR"/>
        </w:rPr>
        <w:t>Avril 2014</w:t>
      </w:r>
    </w:p>
    <w:p w:rsidR="0012327C" w:rsidRDefault="0012327C" w:rsidP="00A00BAA">
      <w:pPr>
        <w:pStyle w:val="Titre"/>
        <w:jc w:val="center"/>
        <w:rPr>
          <w:rFonts w:ascii="Calibri" w:eastAsia="Times New Roman" w:hAnsi="Calibri" w:cs="Times New Roman"/>
          <w:sz w:val="24"/>
          <w:lang w:eastAsia="fr-FR"/>
        </w:rPr>
      </w:pPr>
    </w:p>
    <w:p w:rsidR="0012327C" w:rsidRPr="0012327C" w:rsidRDefault="0012327C" w:rsidP="00A00BAA">
      <w:pPr>
        <w:jc w:val="center"/>
        <w:rPr>
          <w:lang w:eastAsia="fr-FR"/>
        </w:rPr>
      </w:pPr>
    </w:p>
    <w:p w:rsidR="0012327C" w:rsidRPr="002D5221" w:rsidRDefault="0012327C" w:rsidP="00A00BAA">
      <w:pPr>
        <w:pStyle w:val="Titre"/>
        <w:jc w:val="center"/>
        <w:rPr>
          <w:rFonts w:ascii="Calibri" w:eastAsia="Times New Roman" w:hAnsi="Calibri" w:cs="Times New Roman"/>
          <w:sz w:val="24"/>
          <w:lang w:eastAsia="fr-FR"/>
        </w:rPr>
      </w:pPr>
      <w:r w:rsidRPr="002D5221">
        <w:rPr>
          <w:rFonts w:ascii="Calibri" w:eastAsia="Times New Roman" w:hAnsi="Calibri" w:cs="Times New Roman"/>
          <w:sz w:val="24"/>
          <w:lang w:eastAsia="fr-FR"/>
        </w:rPr>
        <w:t>Gaëlle CRENN</w:t>
      </w:r>
    </w:p>
    <w:p w:rsidR="0012327C" w:rsidRPr="002D5221" w:rsidRDefault="0012327C" w:rsidP="00A00BAA">
      <w:pPr>
        <w:pStyle w:val="Titre"/>
        <w:jc w:val="center"/>
        <w:rPr>
          <w:rFonts w:ascii="Calibri" w:eastAsia="Times New Roman" w:hAnsi="Calibri" w:cs="Times New Roman"/>
          <w:sz w:val="24"/>
          <w:lang w:eastAsia="fr-FR"/>
        </w:rPr>
      </w:pPr>
      <w:r w:rsidRPr="002D5221">
        <w:rPr>
          <w:rFonts w:ascii="Calibri" w:eastAsia="Times New Roman" w:hAnsi="Calibri" w:cs="Times New Roman"/>
          <w:sz w:val="24"/>
          <w:lang w:eastAsia="fr-FR"/>
        </w:rPr>
        <w:t>Lee DAVIDSON</w:t>
      </w:r>
    </w:p>
    <w:p w:rsidR="0012327C" w:rsidRPr="002D5221" w:rsidRDefault="0012327C" w:rsidP="00A00BAA">
      <w:pPr>
        <w:pStyle w:val="Titre"/>
        <w:jc w:val="center"/>
        <w:rPr>
          <w:rFonts w:ascii="Calibri" w:eastAsia="Times New Roman" w:hAnsi="Calibri" w:cs="Times New Roman"/>
          <w:sz w:val="24"/>
          <w:lang w:eastAsia="fr-FR"/>
        </w:rPr>
      </w:pPr>
      <w:r w:rsidRPr="002D5221">
        <w:rPr>
          <w:rFonts w:ascii="Calibri" w:eastAsia="Times New Roman" w:hAnsi="Calibri" w:cs="Times New Roman"/>
          <w:sz w:val="24"/>
          <w:lang w:eastAsia="fr-FR"/>
        </w:rPr>
        <w:t>Natacha GAGNE</w:t>
      </w:r>
    </w:p>
    <w:p w:rsidR="0012327C" w:rsidRPr="002D5221" w:rsidRDefault="0012327C" w:rsidP="00A00BAA">
      <w:pPr>
        <w:pStyle w:val="Titre"/>
        <w:jc w:val="center"/>
        <w:rPr>
          <w:rFonts w:ascii="Calibri" w:eastAsia="Times New Roman" w:hAnsi="Calibri" w:cs="Times New Roman"/>
          <w:sz w:val="24"/>
          <w:lang w:eastAsia="fr-FR"/>
        </w:rPr>
      </w:pPr>
      <w:r w:rsidRPr="002D5221">
        <w:rPr>
          <w:rFonts w:ascii="Calibri" w:eastAsia="Times New Roman" w:hAnsi="Calibri" w:cs="Times New Roman"/>
          <w:sz w:val="24"/>
          <w:lang w:eastAsia="fr-FR"/>
        </w:rPr>
        <w:t>Mélanie ROUSTAN</w:t>
      </w:r>
    </w:p>
    <w:p w:rsidR="0012327C" w:rsidRDefault="0012327C" w:rsidP="00A00BAA">
      <w:pPr>
        <w:pStyle w:val="Titre"/>
        <w:jc w:val="center"/>
        <w:rPr>
          <w:rFonts w:eastAsia="Times New Roman"/>
          <w:lang w:eastAsia="fr-FR"/>
        </w:rPr>
      </w:pPr>
    </w:p>
    <w:p w:rsidR="0012327C" w:rsidRPr="002D5221" w:rsidRDefault="0012327C" w:rsidP="00A00BAA">
      <w:pPr>
        <w:rPr>
          <w:rFonts w:eastAsia="Times New Roman" w:cs="Times New Roman"/>
          <w:sz w:val="24"/>
          <w:lang w:eastAsia="fr-FR"/>
        </w:rPr>
      </w:pPr>
    </w:p>
    <w:p w:rsidR="002D5221" w:rsidRPr="002D5221" w:rsidRDefault="002D5221" w:rsidP="00A00BAA">
      <w:pPr>
        <w:rPr>
          <w:rFonts w:eastAsia="Times New Roman" w:cs="Times New Roman"/>
          <w:b/>
          <w:sz w:val="24"/>
          <w:lang w:eastAsia="fr-FR"/>
        </w:rPr>
      </w:pPr>
    </w:p>
    <w:p w:rsidR="0012327C" w:rsidRPr="002D5221" w:rsidRDefault="0012327C" w:rsidP="00A00BAA">
      <w:pPr>
        <w:rPr>
          <w:rFonts w:eastAsia="Times New Roman" w:cs="Times New Roman"/>
          <w:sz w:val="24"/>
          <w:lang w:eastAsia="fr-FR"/>
        </w:rPr>
      </w:pPr>
      <w:r w:rsidRPr="002D5221">
        <w:rPr>
          <w:rFonts w:eastAsia="Times New Roman" w:cs="Times New Roman"/>
          <w:sz w:val="24"/>
          <w:lang w:eastAsia="fr-FR"/>
        </w:rPr>
        <w:t xml:space="preserve">Contact : Gaëlle </w:t>
      </w:r>
      <w:proofErr w:type="spellStart"/>
      <w:r w:rsidRPr="002D5221">
        <w:rPr>
          <w:rFonts w:eastAsia="Times New Roman" w:cs="Times New Roman"/>
          <w:sz w:val="24"/>
          <w:lang w:eastAsia="fr-FR"/>
        </w:rPr>
        <w:t>Crenn</w:t>
      </w:r>
      <w:proofErr w:type="spellEnd"/>
      <w:r w:rsidRPr="002D5221">
        <w:rPr>
          <w:rFonts w:eastAsia="Times New Roman" w:cs="Times New Roman"/>
          <w:sz w:val="24"/>
          <w:lang w:eastAsia="fr-FR"/>
        </w:rPr>
        <w:t xml:space="preserve"> </w:t>
      </w:r>
    </w:p>
    <w:p w:rsidR="0012327C" w:rsidRPr="002D5221" w:rsidRDefault="00C40EDF" w:rsidP="00A00BAA">
      <w:pPr>
        <w:rPr>
          <w:rFonts w:eastAsia="Times New Roman" w:cs="Times New Roman"/>
          <w:sz w:val="24"/>
          <w:lang w:eastAsia="fr-FR"/>
        </w:rPr>
      </w:pPr>
      <w:hyperlink r:id="rId9" w:history="1">
        <w:r w:rsidR="0012327C" w:rsidRPr="002D5221">
          <w:rPr>
            <w:rStyle w:val="Lienhypertexte"/>
            <w:rFonts w:eastAsia="Times New Roman" w:cs="Times New Roman"/>
            <w:sz w:val="24"/>
            <w:lang w:eastAsia="fr-FR"/>
          </w:rPr>
          <w:t>gaelle.crenn@univ-lorraine.fr</w:t>
        </w:r>
      </w:hyperlink>
    </w:p>
    <w:p w:rsidR="0012327C" w:rsidRPr="002D5221" w:rsidRDefault="0012327C" w:rsidP="00A00BAA">
      <w:pPr>
        <w:rPr>
          <w:rFonts w:eastAsia="Times New Roman" w:cs="Times New Roman"/>
          <w:sz w:val="24"/>
          <w:lang w:eastAsia="fr-FR"/>
        </w:rPr>
      </w:pPr>
      <w:r w:rsidRPr="002D5221">
        <w:rPr>
          <w:rFonts w:eastAsia="Times New Roman" w:cs="Times New Roman"/>
          <w:sz w:val="24"/>
          <w:lang w:eastAsia="fr-FR"/>
        </w:rPr>
        <w:t>Tel : 06 66 44 91 29</w:t>
      </w:r>
      <w:r w:rsidRPr="002D5221">
        <w:rPr>
          <w:rFonts w:eastAsia="Times New Roman" w:cs="Times New Roman"/>
          <w:sz w:val="24"/>
          <w:lang w:eastAsia="fr-FR"/>
        </w:rPr>
        <w:br w:type="page"/>
      </w:r>
    </w:p>
    <w:sdt>
      <w:sdtPr>
        <w:rPr>
          <w:rFonts w:asciiTheme="minorHAnsi" w:eastAsiaTheme="minorHAnsi" w:hAnsiTheme="minorHAnsi" w:cstheme="minorBidi"/>
          <w:b w:val="0"/>
          <w:bCs w:val="0"/>
          <w:color w:val="auto"/>
          <w:sz w:val="22"/>
          <w:szCs w:val="22"/>
          <w:lang w:eastAsia="en-US"/>
        </w:rPr>
        <w:id w:val="1362014473"/>
        <w:docPartObj>
          <w:docPartGallery w:val="Table of Contents"/>
          <w:docPartUnique/>
        </w:docPartObj>
      </w:sdtPr>
      <w:sdtEndPr>
        <w:rPr>
          <w:rFonts w:ascii="Calibri" w:hAnsi="Calibri"/>
        </w:rPr>
      </w:sdtEndPr>
      <w:sdtContent>
        <w:p w:rsidR="0012327C" w:rsidRDefault="0012327C" w:rsidP="00A00BAA">
          <w:pPr>
            <w:pStyle w:val="En-ttedetabledesmatires"/>
          </w:pPr>
          <w:r>
            <w:t>Table des matières</w:t>
          </w:r>
        </w:p>
        <w:p w:rsidR="007A429B" w:rsidRDefault="0012327C">
          <w:pPr>
            <w:pStyle w:val="TM1"/>
            <w:tabs>
              <w:tab w:val="right" w:leader="dot" w:pos="9062"/>
            </w:tabs>
            <w:rPr>
              <w:rFonts w:asciiTheme="minorHAnsi" w:eastAsiaTheme="minorEastAsia" w:hAnsiTheme="minorHAnsi"/>
              <w:noProof/>
              <w:lang w:eastAsia="fr-FR"/>
            </w:rPr>
          </w:pPr>
          <w:r>
            <w:fldChar w:fldCharType="begin"/>
          </w:r>
          <w:r>
            <w:instrText xml:space="preserve"> TOC \o "1-3" \h \z \u </w:instrText>
          </w:r>
          <w:r>
            <w:fldChar w:fldCharType="separate"/>
          </w:r>
          <w:hyperlink w:anchor="_Toc385923184" w:history="1">
            <w:r w:rsidR="007A429B" w:rsidRPr="00901752">
              <w:rPr>
                <w:rStyle w:val="Lienhypertexte"/>
                <w:rFonts w:eastAsia="Times New Roman"/>
                <w:noProof/>
                <w:lang w:eastAsia="fr-FR"/>
              </w:rPr>
              <w:t>I. RAPPEL DU PROJET</w:t>
            </w:r>
            <w:r w:rsidR="007A429B">
              <w:rPr>
                <w:noProof/>
                <w:webHidden/>
              </w:rPr>
              <w:tab/>
            </w:r>
            <w:r w:rsidR="007A429B">
              <w:rPr>
                <w:noProof/>
                <w:webHidden/>
              </w:rPr>
              <w:fldChar w:fldCharType="begin"/>
            </w:r>
            <w:r w:rsidR="007A429B">
              <w:rPr>
                <w:noProof/>
                <w:webHidden/>
              </w:rPr>
              <w:instrText xml:space="preserve"> PAGEREF _Toc385923184 \h </w:instrText>
            </w:r>
            <w:r w:rsidR="007A429B">
              <w:rPr>
                <w:noProof/>
                <w:webHidden/>
              </w:rPr>
            </w:r>
            <w:r w:rsidR="007A429B">
              <w:rPr>
                <w:noProof/>
                <w:webHidden/>
              </w:rPr>
              <w:fldChar w:fldCharType="separate"/>
            </w:r>
            <w:r w:rsidR="007A429B">
              <w:rPr>
                <w:noProof/>
                <w:webHidden/>
              </w:rPr>
              <w:t>3</w:t>
            </w:r>
            <w:r w:rsidR="007A429B">
              <w:rPr>
                <w:noProof/>
                <w:webHidden/>
              </w:rPr>
              <w:fldChar w:fldCharType="end"/>
            </w:r>
          </w:hyperlink>
        </w:p>
        <w:p w:rsidR="007A429B" w:rsidRDefault="007A429B">
          <w:pPr>
            <w:pStyle w:val="TM2"/>
            <w:tabs>
              <w:tab w:val="right" w:leader="dot" w:pos="9062"/>
            </w:tabs>
            <w:rPr>
              <w:rFonts w:asciiTheme="minorHAnsi" w:eastAsiaTheme="minorEastAsia" w:hAnsiTheme="minorHAnsi"/>
              <w:noProof/>
              <w:lang w:eastAsia="fr-FR"/>
            </w:rPr>
          </w:pPr>
          <w:hyperlink w:anchor="_Toc385923185" w:history="1">
            <w:r w:rsidRPr="00901752">
              <w:rPr>
                <w:rStyle w:val="Lienhypertexte"/>
                <w:rFonts w:eastAsia="Times New Roman"/>
                <w:noProof/>
                <w:lang w:eastAsia="fr-FR"/>
              </w:rPr>
              <w:t>1. Problématique et objectifs</w:t>
            </w:r>
            <w:r>
              <w:rPr>
                <w:noProof/>
                <w:webHidden/>
              </w:rPr>
              <w:tab/>
            </w:r>
            <w:r>
              <w:rPr>
                <w:noProof/>
                <w:webHidden/>
              </w:rPr>
              <w:fldChar w:fldCharType="begin"/>
            </w:r>
            <w:r>
              <w:rPr>
                <w:noProof/>
                <w:webHidden/>
              </w:rPr>
              <w:instrText xml:space="preserve"> PAGEREF _Toc385923185 \h </w:instrText>
            </w:r>
            <w:r>
              <w:rPr>
                <w:noProof/>
                <w:webHidden/>
              </w:rPr>
            </w:r>
            <w:r>
              <w:rPr>
                <w:noProof/>
                <w:webHidden/>
              </w:rPr>
              <w:fldChar w:fldCharType="separate"/>
            </w:r>
            <w:r>
              <w:rPr>
                <w:noProof/>
                <w:webHidden/>
              </w:rPr>
              <w:t>3</w:t>
            </w:r>
            <w:r>
              <w:rPr>
                <w:noProof/>
                <w:webHidden/>
              </w:rPr>
              <w:fldChar w:fldCharType="end"/>
            </w:r>
          </w:hyperlink>
        </w:p>
        <w:p w:rsidR="007A429B" w:rsidRDefault="007A429B">
          <w:pPr>
            <w:pStyle w:val="TM2"/>
            <w:tabs>
              <w:tab w:val="right" w:leader="dot" w:pos="9062"/>
            </w:tabs>
            <w:rPr>
              <w:rFonts w:asciiTheme="minorHAnsi" w:eastAsiaTheme="minorEastAsia" w:hAnsiTheme="minorHAnsi"/>
              <w:noProof/>
              <w:lang w:eastAsia="fr-FR"/>
            </w:rPr>
          </w:pPr>
          <w:hyperlink w:anchor="_Toc385923186" w:history="1">
            <w:r w:rsidRPr="00901752">
              <w:rPr>
                <w:rStyle w:val="Lienhypertexte"/>
                <w:rFonts w:eastAsia="Times New Roman"/>
                <w:noProof/>
                <w:lang w:eastAsia="fr-FR"/>
              </w:rPr>
              <w:t>2. Démarche et terrains</w:t>
            </w:r>
            <w:r>
              <w:rPr>
                <w:noProof/>
                <w:webHidden/>
              </w:rPr>
              <w:tab/>
            </w:r>
            <w:r>
              <w:rPr>
                <w:noProof/>
                <w:webHidden/>
              </w:rPr>
              <w:fldChar w:fldCharType="begin"/>
            </w:r>
            <w:r>
              <w:rPr>
                <w:noProof/>
                <w:webHidden/>
              </w:rPr>
              <w:instrText xml:space="preserve"> PAGEREF _Toc385923186 \h </w:instrText>
            </w:r>
            <w:r>
              <w:rPr>
                <w:noProof/>
                <w:webHidden/>
              </w:rPr>
            </w:r>
            <w:r>
              <w:rPr>
                <w:noProof/>
                <w:webHidden/>
              </w:rPr>
              <w:fldChar w:fldCharType="separate"/>
            </w:r>
            <w:r>
              <w:rPr>
                <w:noProof/>
                <w:webHidden/>
              </w:rPr>
              <w:t>4</w:t>
            </w:r>
            <w:r>
              <w:rPr>
                <w:noProof/>
                <w:webHidden/>
              </w:rPr>
              <w:fldChar w:fldCharType="end"/>
            </w:r>
          </w:hyperlink>
        </w:p>
        <w:p w:rsidR="007A429B" w:rsidRDefault="007A429B">
          <w:pPr>
            <w:pStyle w:val="TM3"/>
            <w:tabs>
              <w:tab w:val="right" w:leader="dot" w:pos="9062"/>
            </w:tabs>
            <w:rPr>
              <w:rFonts w:asciiTheme="minorHAnsi" w:eastAsiaTheme="minorEastAsia" w:hAnsiTheme="minorHAnsi"/>
              <w:noProof/>
              <w:lang w:eastAsia="fr-FR"/>
            </w:rPr>
          </w:pPr>
          <w:hyperlink w:anchor="_Toc385923187" w:history="1">
            <w:r w:rsidRPr="00901752">
              <w:rPr>
                <w:rStyle w:val="Lienhypertexte"/>
                <w:noProof/>
                <w:lang w:eastAsia="fr-FR"/>
              </w:rPr>
              <w:t>21. Calendrier des terrains</w:t>
            </w:r>
            <w:r>
              <w:rPr>
                <w:noProof/>
                <w:webHidden/>
              </w:rPr>
              <w:tab/>
            </w:r>
            <w:r>
              <w:rPr>
                <w:noProof/>
                <w:webHidden/>
              </w:rPr>
              <w:fldChar w:fldCharType="begin"/>
            </w:r>
            <w:r>
              <w:rPr>
                <w:noProof/>
                <w:webHidden/>
              </w:rPr>
              <w:instrText xml:space="preserve"> PAGEREF _Toc385923187 \h </w:instrText>
            </w:r>
            <w:r>
              <w:rPr>
                <w:noProof/>
                <w:webHidden/>
              </w:rPr>
            </w:r>
            <w:r>
              <w:rPr>
                <w:noProof/>
                <w:webHidden/>
              </w:rPr>
              <w:fldChar w:fldCharType="separate"/>
            </w:r>
            <w:r>
              <w:rPr>
                <w:noProof/>
                <w:webHidden/>
              </w:rPr>
              <w:t>4</w:t>
            </w:r>
            <w:r>
              <w:rPr>
                <w:noProof/>
                <w:webHidden/>
              </w:rPr>
              <w:fldChar w:fldCharType="end"/>
            </w:r>
          </w:hyperlink>
        </w:p>
        <w:p w:rsidR="007A429B" w:rsidRDefault="007A429B">
          <w:pPr>
            <w:pStyle w:val="TM3"/>
            <w:tabs>
              <w:tab w:val="right" w:leader="dot" w:pos="9062"/>
            </w:tabs>
            <w:rPr>
              <w:rFonts w:asciiTheme="minorHAnsi" w:eastAsiaTheme="minorEastAsia" w:hAnsiTheme="minorHAnsi"/>
              <w:noProof/>
              <w:lang w:eastAsia="fr-FR"/>
            </w:rPr>
          </w:pPr>
          <w:hyperlink w:anchor="_Toc385923188" w:history="1">
            <w:r w:rsidRPr="00901752">
              <w:rPr>
                <w:rStyle w:val="Lienhypertexte"/>
                <w:rFonts w:eastAsia="Times New Roman"/>
                <w:noProof/>
                <w:lang w:eastAsia="fr-FR"/>
              </w:rPr>
              <w:t>22. Entretiens</w:t>
            </w:r>
            <w:r>
              <w:rPr>
                <w:noProof/>
                <w:webHidden/>
              </w:rPr>
              <w:tab/>
            </w:r>
            <w:r>
              <w:rPr>
                <w:noProof/>
                <w:webHidden/>
              </w:rPr>
              <w:fldChar w:fldCharType="begin"/>
            </w:r>
            <w:r>
              <w:rPr>
                <w:noProof/>
                <w:webHidden/>
              </w:rPr>
              <w:instrText xml:space="preserve"> PAGEREF _Toc385923188 \h </w:instrText>
            </w:r>
            <w:r>
              <w:rPr>
                <w:noProof/>
                <w:webHidden/>
              </w:rPr>
            </w:r>
            <w:r>
              <w:rPr>
                <w:noProof/>
                <w:webHidden/>
              </w:rPr>
              <w:fldChar w:fldCharType="separate"/>
            </w:r>
            <w:r>
              <w:rPr>
                <w:noProof/>
                <w:webHidden/>
              </w:rPr>
              <w:t>6</w:t>
            </w:r>
            <w:r>
              <w:rPr>
                <w:noProof/>
                <w:webHidden/>
              </w:rPr>
              <w:fldChar w:fldCharType="end"/>
            </w:r>
          </w:hyperlink>
        </w:p>
        <w:p w:rsidR="007A429B" w:rsidRDefault="007A429B">
          <w:pPr>
            <w:pStyle w:val="TM2"/>
            <w:tabs>
              <w:tab w:val="right" w:leader="dot" w:pos="9062"/>
            </w:tabs>
            <w:rPr>
              <w:rFonts w:asciiTheme="minorHAnsi" w:eastAsiaTheme="minorEastAsia" w:hAnsiTheme="minorHAnsi"/>
              <w:noProof/>
              <w:lang w:eastAsia="fr-FR"/>
            </w:rPr>
          </w:pPr>
          <w:hyperlink w:anchor="_Toc385923189" w:history="1">
            <w:r w:rsidRPr="00901752">
              <w:rPr>
                <w:rStyle w:val="Lienhypertexte"/>
                <w:noProof/>
                <w:lang w:eastAsia="fr-FR"/>
              </w:rPr>
              <w:t>3. Partenaires et budget</w:t>
            </w:r>
            <w:r>
              <w:rPr>
                <w:noProof/>
                <w:webHidden/>
              </w:rPr>
              <w:tab/>
            </w:r>
            <w:r>
              <w:rPr>
                <w:noProof/>
                <w:webHidden/>
              </w:rPr>
              <w:fldChar w:fldCharType="begin"/>
            </w:r>
            <w:r>
              <w:rPr>
                <w:noProof/>
                <w:webHidden/>
              </w:rPr>
              <w:instrText xml:space="preserve"> PAGEREF _Toc385923189 \h </w:instrText>
            </w:r>
            <w:r>
              <w:rPr>
                <w:noProof/>
                <w:webHidden/>
              </w:rPr>
            </w:r>
            <w:r>
              <w:rPr>
                <w:noProof/>
                <w:webHidden/>
              </w:rPr>
              <w:fldChar w:fldCharType="separate"/>
            </w:r>
            <w:r>
              <w:rPr>
                <w:noProof/>
                <w:webHidden/>
              </w:rPr>
              <w:t>6</w:t>
            </w:r>
            <w:r>
              <w:rPr>
                <w:noProof/>
                <w:webHidden/>
              </w:rPr>
              <w:fldChar w:fldCharType="end"/>
            </w:r>
          </w:hyperlink>
        </w:p>
        <w:p w:rsidR="007A429B" w:rsidRDefault="007A429B">
          <w:pPr>
            <w:pStyle w:val="TM3"/>
            <w:tabs>
              <w:tab w:val="right" w:leader="dot" w:pos="9062"/>
            </w:tabs>
            <w:rPr>
              <w:rFonts w:asciiTheme="minorHAnsi" w:eastAsiaTheme="minorEastAsia" w:hAnsiTheme="minorHAnsi"/>
              <w:noProof/>
              <w:lang w:eastAsia="fr-FR"/>
            </w:rPr>
          </w:pPr>
          <w:hyperlink w:anchor="_Toc385923190" w:history="1">
            <w:r w:rsidRPr="00901752">
              <w:rPr>
                <w:rStyle w:val="Lienhypertexte"/>
                <w:noProof/>
                <w:lang w:eastAsia="fr-FR"/>
              </w:rPr>
              <w:t>31. Partenaires</w:t>
            </w:r>
            <w:r>
              <w:rPr>
                <w:noProof/>
                <w:webHidden/>
              </w:rPr>
              <w:tab/>
            </w:r>
            <w:r>
              <w:rPr>
                <w:noProof/>
                <w:webHidden/>
              </w:rPr>
              <w:fldChar w:fldCharType="begin"/>
            </w:r>
            <w:r>
              <w:rPr>
                <w:noProof/>
                <w:webHidden/>
              </w:rPr>
              <w:instrText xml:space="preserve"> PAGEREF _Toc385923190 \h </w:instrText>
            </w:r>
            <w:r>
              <w:rPr>
                <w:noProof/>
                <w:webHidden/>
              </w:rPr>
            </w:r>
            <w:r>
              <w:rPr>
                <w:noProof/>
                <w:webHidden/>
              </w:rPr>
              <w:fldChar w:fldCharType="separate"/>
            </w:r>
            <w:r>
              <w:rPr>
                <w:noProof/>
                <w:webHidden/>
              </w:rPr>
              <w:t>6</w:t>
            </w:r>
            <w:r>
              <w:rPr>
                <w:noProof/>
                <w:webHidden/>
              </w:rPr>
              <w:fldChar w:fldCharType="end"/>
            </w:r>
          </w:hyperlink>
        </w:p>
        <w:p w:rsidR="007A429B" w:rsidRDefault="007A429B">
          <w:pPr>
            <w:pStyle w:val="TM3"/>
            <w:tabs>
              <w:tab w:val="right" w:leader="dot" w:pos="9062"/>
            </w:tabs>
            <w:rPr>
              <w:rFonts w:asciiTheme="minorHAnsi" w:eastAsiaTheme="minorEastAsia" w:hAnsiTheme="minorHAnsi"/>
              <w:noProof/>
              <w:lang w:eastAsia="fr-FR"/>
            </w:rPr>
          </w:pPr>
          <w:hyperlink w:anchor="_Toc385923191" w:history="1">
            <w:r w:rsidRPr="00901752">
              <w:rPr>
                <w:rStyle w:val="Lienhypertexte"/>
                <w:rFonts w:eastAsia="Times New Roman"/>
                <w:noProof/>
                <w:lang w:eastAsia="fr-FR"/>
              </w:rPr>
              <w:t>32. Budget</w:t>
            </w:r>
            <w:r>
              <w:rPr>
                <w:noProof/>
                <w:webHidden/>
              </w:rPr>
              <w:tab/>
            </w:r>
            <w:r>
              <w:rPr>
                <w:noProof/>
                <w:webHidden/>
              </w:rPr>
              <w:fldChar w:fldCharType="begin"/>
            </w:r>
            <w:r>
              <w:rPr>
                <w:noProof/>
                <w:webHidden/>
              </w:rPr>
              <w:instrText xml:space="preserve"> PAGEREF _Toc385923191 \h </w:instrText>
            </w:r>
            <w:r>
              <w:rPr>
                <w:noProof/>
                <w:webHidden/>
              </w:rPr>
            </w:r>
            <w:r>
              <w:rPr>
                <w:noProof/>
                <w:webHidden/>
              </w:rPr>
              <w:fldChar w:fldCharType="separate"/>
            </w:r>
            <w:r>
              <w:rPr>
                <w:noProof/>
                <w:webHidden/>
              </w:rPr>
              <w:t>7</w:t>
            </w:r>
            <w:r>
              <w:rPr>
                <w:noProof/>
                <w:webHidden/>
              </w:rPr>
              <w:fldChar w:fldCharType="end"/>
            </w:r>
          </w:hyperlink>
        </w:p>
        <w:p w:rsidR="007A429B" w:rsidRDefault="007A429B">
          <w:pPr>
            <w:pStyle w:val="TM1"/>
            <w:tabs>
              <w:tab w:val="right" w:leader="dot" w:pos="9062"/>
            </w:tabs>
            <w:rPr>
              <w:rFonts w:asciiTheme="minorHAnsi" w:eastAsiaTheme="minorEastAsia" w:hAnsiTheme="minorHAnsi"/>
              <w:noProof/>
              <w:lang w:eastAsia="fr-FR"/>
            </w:rPr>
          </w:pPr>
          <w:hyperlink w:anchor="_Toc385923192" w:history="1">
            <w:r w:rsidRPr="00901752">
              <w:rPr>
                <w:rStyle w:val="Lienhypertexte"/>
                <w:rFonts w:eastAsia="Times New Roman"/>
                <w:noProof/>
                <w:lang w:eastAsia="fr-FR"/>
              </w:rPr>
              <w:t>II. TRAVAUX ET PUBLICATIONS</w:t>
            </w:r>
            <w:r>
              <w:rPr>
                <w:noProof/>
                <w:webHidden/>
              </w:rPr>
              <w:tab/>
            </w:r>
            <w:r>
              <w:rPr>
                <w:noProof/>
                <w:webHidden/>
              </w:rPr>
              <w:fldChar w:fldCharType="begin"/>
            </w:r>
            <w:r>
              <w:rPr>
                <w:noProof/>
                <w:webHidden/>
              </w:rPr>
              <w:instrText xml:space="preserve"> PAGEREF _Toc385923192 \h </w:instrText>
            </w:r>
            <w:r>
              <w:rPr>
                <w:noProof/>
                <w:webHidden/>
              </w:rPr>
            </w:r>
            <w:r>
              <w:rPr>
                <w:noProof/>
                <w:webHidden/>
              </w:rPr>
              <w:fldChar w:fldCharType="separate"/>
            </w:r>
            <w:r>
              <w:rPr>
                <w:noProof/>
                <w:webHidden/>
              </w:rPr>
              <w:t>8</w:t>
            </w:r>
            <w:r>
              <w:rPr>
                <w:noProof/>
                <w:webHidden/>
              </w:rPr>
              <w:fldChar w:fldCharType="end"/>
            </w:r>
          </w:hyperlink>
        </w:p>
        <w:p w:rsidR="007A429B" w:rsidRDefault="007A429B">
          <w:pPr>
            <w:pStyle w:val="TM2"/>
            <w:tabs>
              <w:tab w:val="right" w:leader="dot" w:pos="9062"/>
            </w:tabs>
            <w:rPr>
              <w:rFonts w:asciiTheme="minorHAnsi" w:eastAsiaTheme="minorEastAsia" w:hAnsiTheme="minorHAnsi"/>
              <w:noProof/>
              <w:lang w:eastAsia="fr-FR"/>
            </w:rPr>
          </w:pPr>
          <w:hyperlink w:anchor="_Toc385923193" w:history="1">
            <w:r w:rsidRPr="00901752">
              <w:rPr>
                <w:rStyle w:val="Lienhypertexte"/>
                <w:noProof/>
              </w:rPr>
              <w:t>1. L’EXPOSITION</w:t>
            </w:r>
            <w:r>
              <w:rPr>
                <w:noProof/>
                <w:webHidden/>
              </w:rPr>
              <w:tab/>
            </w:r>
            <w:r>
              <w:rPr>
                <w:noProof/>
                <w:webHidden/>
              </w:rPr>
              <w:fldChar w:fldCharType="begin"/>
            </w:r>
            <w:r>
              <w:rPr>
                <w:noProof/>
                <w:webHidden/>
              </w:rPr>
              <w:instrText xml:space="preserve"> PAGEREF _Toc385923193 \h </w:instrText>
            </w:r>
            <w:r>
              <w:rPr>
                <w:noProof/>
                <w:webHidden/>
              </w:rPr>
            </w:r>
            <w:r>
              <w:rPr>
                <w:noProof/>
                <w:webHidden/>
              </w:rPr>
              <w:fldChar w:fldCharType="separate"/>
            </w:r>
            <w:r>
              <w:rPr>
                <w:noProof/>
                <w:webHidden/>
              </w:rPr>
              <w:t>8</w:t>
            </w:r>
            <w:r>
              <w:rPr>
                <w:noProof/>
                <w:webHidden/>
              </w:rPr>
              <w:fldChar w:fldCharType="end"/>
            </w:r>
          </w:hyperlink>
        </w:p>
        <w:p w:rsidR="007A429B" w:rsidRDefault="007A429B">
          <w:pPr>
            <w:pStyle w:val="TM3"/>
            <w:tabs>
              <w:tab w:val="right" w:leader="dot" w:pos="9062"/>
            </w:tabs>
            <w:rPr>
              <w:rFonts w:asciiTheme="minorHAnsi" w:eastAsiaTheme="minorEastAsia" w:hAnsiTheme="minorHAnsi"/>
              <w:noProof/>
              <w:lang w:eastAsia="fr-FR"/>
            </w:rPr>
          </w:pPr>
          <w:hyperlink w:anchor="_Toc385923194" w:history="1">
            <w:r w:rsidRPr="00901752">
              <w:rPr>
                <w:rStyle w:val="Lienhypertexte"/>
                <w:noProof/>
              </w:rPr>
              <w:t>11. Approches de l’exposition comme zone de contact</w:t>
            </w:r>
            <w:r>
              <w:rPr>
                <w:noProof/>
                <w:webHidden/>
              </w:rPr>
              <w:tab/>
            </w:r>
            <w:r>
              <w:rPr>
                <w:noProof/>
                <w:webHidden/>
              </w:rPr>
              <w:fldChar w:fldCharType="begin"/>
            </w:r>
            <w:r>
              <w:rPr>
                <w:noProof/>
                <w:webHidden/>
              </w:rPr>
              <w:instrText xml:space="preserve"> PAGEREF _Toc385923194 \h </w:instrText>
            </w:r>
            <w:r>
              <w:rPr>
                <w:noProof/>
                <w:webHidden/>
              </w:rPr>
            </w:r>
            <w:r>
              <w:rPr>
                <w:noProof/>
                <w:webHidden/>
              </w:rPr>
              <w:fldChar w:fldCharType="separate"/>
            </w:r>
            <w:r>
              <w:rPr>
                <w:noProof/>
                <w:webHidden/>
              </w:rPr>
              <w:t>8</w:t>
            </w:r>
            <w:r>
              <w:rPr>
                <w:noProof/>
                <w:webHidden/>
              </w:rPr>
              <w:fldChar w:fldCharType="end"/>
            </w:r>
          </w:hyperlink>
        </w:p>
        <w:p w:rsidR="007A429B" w:rsidRDefault="007A429B">
          <w:pPr>
            <w:pStyle w:val="TM3"/>
            <w:tabs>
              <w:tab w:val="right" w:leader="dot" w:pos="9062"/>
            </w:tabs>
            <w:rPr>
              <w:rFonts w:asciiTheme="minorHAnsi" w:eastAsiaTheme="minorEastAsia" w:hAnsiTheme="minorHAnsi"/>
              <w:noProof/>
              <w:lang w:eastAsia="fr-FR"/>
            </w:rPr>
          </w:pPr>
          <w:hyperlink w:anchor="_Toc385923195" w:history="1">
            <w:r w:rsidRPr="00901752">
              <w:rPr>
                <w:rStyle w:val="Lienhypertexte"/>
                <w:noProof/>
              </w:rPr>
              <w:t>12. Muséographie et interprétation dans l’exposition “E tū Ake »</w:t>
            </w:r>
            <w:r>
              <w:rPr>
                <w:noProof/>
                <w:webHidden/>
              </w:rPr>
              <w:tab/>
            </w:r>
            <w:r>
              <w:rPr>
                <w:noProof/>
                <w:webHidden/>
              </w:rPr>
              <w:fldChar w:fldCharType="begin"/>
            </w:r>
            <w:r>
              <w:rPr>
                <w:noProof/>
                <w:webHidden/>
              </w:rPr>
              <w:instrText xml:space="preserve"> PAGEREF _Toc385923195 \h </w:instrText>
            </w:r>
            <w:r>
              <w:rPr>
                <w:noProof/>
                <w:webHidden/>
              </w:rPr>
            </w:r>
            <w:r>
              <w:rPr>
                <w:noProof/>
                <w:webHidden/>
              </w:rPr>
              <w:fldChar w:fldCharType="separate"/>
            </w:r>
            <w:r>
              <w:rPr>
                <w:noProof/>
                <w:webHidden/>
              </w:rPr>
              <w:t>9</w:t>
            </w:r>
            <w:r>
              <w:rPr>
                <w:noProof/>
                <w:webHidden/>
              </w:rPr>
              <w:fldChar w:fldCharType="end"/>
            </w:r>
          </w:hyperlink>
        </w:p>
        <w:p w:rsidR="007A429B" w:rsidRDefault="007A429B">
          <w:pPr>
            <w:pStyle w:val="TM3"/>
            <w:tabs>
              <w:tab w:val="right" w:leader="dot" w:pos="9062"/>
            </w:tabs>
            <w:rPr>
              <w:rFonts w:asciiTheme="minorHAnsi" w:eastAsiaTheme="minorEastAsia" w:hAnsiTheme="minorHAnsi"/>
              <w:noProof/>
              <w:lang w:eastAsia="fr-FR"/>
            </w:rPr>
          </w:pPr>
          <w:hyperlink w:anchor="_Toc385923196" w:history="1">
            <w:r w:rsidRPr="00901752">
              <w:rPr>
                <w:rStyle w:val="Lienhypertexte"/>
                <w:noProof/>
              </w:rPr>
              <w:t>13. Rapports aux objets, scénographie et contextes institutionnels : l’exposition à Paris et Québec</w:t>
            </w:r>
            <w:r>
              <w:rPr>
                <w:noProof/>
                <w:webHidden/>
              </w:rPr>
              <w:tab/>
            </w:r>
            <w:r>
              <w:rPr>
                <w:noProof/>
                <w:webHidden/>
              </w:rPr>
              <w:fldChar w:fldCharType="begin"/>
            </w:r>
            <w:r>
              <w:rPr>
                <w:noProof/>
                <w:webHidden/>
              </w:rPr>
              <w:instrText xml:space="preserve"> PAGEREF _Toc385923196 \h </w:instrText>
            </w:r>
            <w:r>
              <w:rPr>
                <w:noProof/>
                <w:webHidden/>
              </w:rPr>
            </w:r>
            <w:r>
              <w:rPr>
                <w:noProof/>
                <w:webHidden/>
              </w:rPr>
              <w:fldChar w:fldCharType="separate"/>
            </w:r>
            <w:r>
              <w:rPr>
                <w:noProof/>
                <w:webHidden/>
              </w:rPr>
              <w:t>9</w:t>
            </w:r>
            <w:r>
              <w:rPr>
                <w:noProof/>
                <w:webHidden/>
              </w:rPr>
              <w:fldChar w:fldCharType="end"/>
            </w:r>
          </w:hyperlink>
        </w:p>
        <w:bookmarkStart w:id="0" w:name="_GoBack"/>
        <w:bookmarkEnd w:id="0"/>
        <w:p w:rsidR="007A429B" w:rsidRDefault="007A429B">
          <w:pPr>
            <w:pStyle w:val="TM2"/>
            <w:tabs>
              <w:tab w:val="right" w:leader="dot" w:pos="9062"/>
            </w:tabs>
            <w:rPr>
              <w:rFonts w:asciiTheme="minorHAnsi" w:eastAsiaTheme="minorEastAsia" w:hAnsiTheme="minorHAnsi"/>
              <w:noProof/>
              <w:lang w:eastAsia="fr-FR"/>
            </w:rPr>
          </w:pPr>
          <w:r w:rsidRPr="00901752">
            <w:rPr>
              <w:rStyle w:val="Lienhypertexte"/>
              <w:noProof/>
            </w:rPr>
            <w:fldChar w:fldCharType="begin"/>
          </w:r>
          <w:r w:rsidRPr="00901752">
            <w:rPr>
              <w:rStyle w:val="Lienhypertexte"/>
              <w:noProof/>
            </w:rPr>
            <w:instrText xml:space="preserve"> </w:instrText>
          </w:r>
          <w:r>
            <w:rPr>
              <w:noProof/>
            </w:rPr>
            <w:instrText>HYPERLINK \l "_Toc385923202"</w:instrText>
          </w:r>
          <w:r w:rsidRPr="00901752">
            <w:rPr>
              <w:rStyle w:val="Lienhypertexte"/>
              <w:noProof/>
            </w:rPr>
            <w:instrText xml:space="preserve"> </w:instrText>
          </w:r>
          <w:r w:rsidRPr="00901752">
            <w:rPr>
              <w:rStyle w:val="Lienhypertexte"/>
              <w:noProof/>
            </w:rPr>
          </w:r>
          <w:r w:rsidRPr="00901752">
            <w:rPr>
              <w:rStyle w:val="Lienhypertexte"/>
              <w:noProof/>
            </w:rPr>
            <w:fldChar w:fldCharType="separate"/>
          </w:r>
          <w:r w:rsidRPr="00901752">
            <w:rPr>
              <w:rStyle w:val="Lienhypertexte"/>
              <w:noProof/>
            </w:rPr>
            <w:t>2. PRATIQUES PROFESSIONNELLES</w:t>
          </w:r>
          <w:r>
            <w:rPr>
              <w:noProof/>
              <w:webHidden/>
            </w:rPr>
            <w:tab/>
          </w:r>
          <w:r>
            <w:rPr>
              <w:noProof/>
              <w:webHidden/>
            </w:rPr>
            <w:fldChar w:fldCharType="begin"/>
          </w:r>
          <w:r>
            <w:rPr>
              <w:noProof/>
              <w:webHidden/>
            </w:rPr>
            <w:instrText xml:space="preserve"> PAGEREF _Toc385923202 \h </w:instrText>
          </w:r>
          <w:r>
            <w:rPr>
              <w:noProof/>
              <w:webHidden/>
            </w:rPr>
          </w:r>
          <w:r>
            <w:rPr>
              <w:noProof/>
              <w:webHidden/>
            </w:rPr>
            <w:fldChar w:fldCharType="separate"/>
          </w:r>
          <w:r>
            <w:rPr>
              <w:noProof/>
              <w:webHidden/>
            </w:rPr>
            <w:t>18</w:t>
          </w:r>
          <w:r>
            <w:rPr>
              <w:noProof/>
              <w:webHidden/>
            </w:rPr>
            <w:fldChar w:fldCharType="end"/>
          </w:r>
          <w:r w:rsidRPr="00901752">
            <w:rPr>
              <w:rStyle w:val="Lienhypertexte"/>
              <w:noProof/>
            </w:rPr>
            <w:fldChar w:fldCharType="end"/>
          </w:r>
        </w:p>
        <w:p w:rsidR="007A429B" w:rsidRDefault="007A429B">
          <w:pPr>
            <w:pStyle w:val="TM3"/>
            <w:tabs>
              <w:tab w:val="right" w:leader="dot" w:pos="9062"/>
            </w:tabs>
            <w:rPr>
              <w:rFonts w:asciiTheme="minorHAnsi" w:eastAsiaTheme="minorEastAsia" w:hAnsiTheme="minorHAnsi"/>
              <w:noProof/>
              <w:lang w:eastAsia="fr-FR"/>
            </w:rPr>
          </w:pPr>
          <w:hyperlink w:anchor="_Toc385923203" w:history="1">
            <w:r w:rsidRPr="00901752">
              <w:rPr>
                <w:rStyle w:val="Lienhypertexte"/>
                <w:noProof/>
              </w:rPr>
              <w:t>21. Les relations professionnelles</w:t>
            </w:r>
            <w:r>
              <w:rPr>
                <w:noProof/>
                <w:webHidden/>
              </w:rPr>
              <w:tab/>
            </w:r>
            <w:r>
              <w:rPr>
                <w:noProof/>
                <w:webHidden/>
              </w:rPr>
              <w:fldChar w:fldCharType="begin"/>
            </w:r>
            <w:r>
              <w:rPr>
                <w:noProof/>
                <w:webHidden/>
              </w:rPr>
              <w:instrText xml:space="preserve"> PAGEREF _Toc385923203 \h </w:instrText>
            </w:r>
            <w:r>
              <w:rPr>
                <w:noProof/>
                <w:webHidden/>
              </w:rPr>
            </w:r>
            <w:r>
              <w:rPr>
                <w:noProof/>
                <w:webHidden/>
              </w:rPr>
              <w:fldChar w:fldCharType="separate"/>
            </w:r>
            <w:r>
              <w:rPr>
                <w:noProof/>
                <w:webHidden/>
              </w:rPr>
              <w:t>18</w:t>
            </w:r>
            <w:r>
              <w:rPr>
                <w:noProof/>
                <w:webHidden/>
              </w:rPr>
              <w:fldChar w:fldCharType="end"/>
            </w:r>
          </w:hyperlink>
        </w:p>
        <w:p w:rsidR="007A429B" w:rsidRDefault="007A429B">
          <w:pPr>
            <w:pStyle w:val="TM3"/>
            <w:tabs>
              <w:tab w:val="right" w:leader="dot" w:pos="9062"/>
            </w:tabs>
            <w:rPr>
              <w:rFonts w:asciiTheme="minorHAnsi" w:eastAsiaTheme="minorEastAsia" w:hAnsiTheme="minorHAnsi"/>
              <w:noProof/>
              <w:lang w:eastAsia="fr-FR"/>
            </w:rPr>
          </w:pPr>
          <w:hyperlink w:anchor="_Toc385923204" w:history="1">
            <w:r w:rsidRPr="00901752">
              <w:rPr>
                <w:rStyle w:val="Lienhypertexte"/>
                <w:noProof/>
              </w:rPr>
              <w:t>22. Les pratiques professionnels et le dialogue interculturel</w:t>
            </w:r>
            <w:r>
              <w:rPr>
                <w:noProof/>
                <w:webHidden/>
              </w:rPr>
              <w:tab/>
            </w:r>
            <w:r>
              <w:rPr>
                <w:noProof/>
                <w:webHidden/>
              </w:rPr>
              <w:fldChar w:fldCharType="begin"/>
            </w:r>
            <w:r>
              <w:rPr>
                <w:noProof/>
                <w:webHidden/>
              </w:rPr>
              <w:instrText xml:space="preserve"> PAGEREF _Toc385923204 \h </w:instrText>
            </w:r>
            <w:r>
              <w:rPr>
                <w:noProof/>
                <w:webHidden/>
              </w:rPr>
            </w:r>
            <w:r>
              <w:rPr>
                <w:noProof/>
                <w:webHidden/>
              </w:rPr>
              <w:fldChar w:fldCharType="separate"/>
            </w:r>
            <w:r>
              <w:rPr>
                <w:noProof/>
                <w:webHidden/>
              </w:rPr>
              <w:t>18</w:t>
            </w:r>
            <w:r>
              <w:rPr>
                <w:noProof/>
                <w:webHidden/>
              </w:rPr>
              <w:fldChar w:fldCharType="end"/>
            </w:r>
          </w:hyperlink>
        </w:p>
        <w:p w:rsidR="007A429B" w:rsidRDefault="007A429B">
          <w:pPr>
            <w:pStyle w:val="TM2"/>
            <w:tabs>
              <w:tab w:val="right" w:leader="dot" w:pos="9062"/>
            </w:tabs>
            <w:rPr>
              <w:rFonts w:asciiTheme="minorHAnsi" w:eastAsiaTheme="minorEastAsia" w:hAnsiTheme="minorHAnsi"/>
              <w:noProof/>
              <w:lang w:eastAsia="fr-FR"/>
            </w:rPr>
          </w:pPr>
          <w:hyperlink w:anchor="_Toc385923205" w:history="1">
            <w:r w:rsidRPr="00901752">
              <w:rPr>
                <w:rStyle w:val="Lienhypertexte"/>
                <w:noProof/>
              </w:rPr>
              <w:t>3. RECEPTION</w:t>
            </w:r>
            <w:r>
              <w:rPr>
                <w:noProof/>
                <w:webHidden/>
              </w:rPr>
              <w:tab/>
            </w:r>
            <w:r>
              <w:rPr>
                <w:noProof/>
                <w:webHidden/>
              </w:rPr>
              <w:fldChar w:fldCharType="begin"/>
            </w:r>
            <w:r>
              <w:rPr>
                <w:noProof/>
                <w:webHidden/>
              </w:rPr>
              <w:instrText xml:space="preserve"> PAGEREF _Toc385923205 \h </w:instrText>
            </w:r>
            <w:r>
              <w:rPr>
                <w:noProof/>
                <w:webHidden/>
              </w:rPr>
            </w:r>
            <w:r>
              <w:rPr>
                <w:noProof/>
                <w:webHidden/>
              </w:rPr>
              <w:fldChar w:fldCharType="separate"/>
            </w:r>
            <w:r>
              <w:rPr>
                <w:noProof/>
                <w:webHidden/>
              </w:rPr>
              <w:t>19</w:t>
            </w:r>
            <w:r>
              <w:rPr>
                <w:noProof/>
                <w:webHidden/>
              </w:rPr>
              <w:fldChar w:fldCharType="end"/>
            </w:r>
          </w:hyperlink>
        </w:p>
        <w:p w:rsidR="007A429B" w:rsidRDefault="007A429B">
          <w:pPr>
            <w:pStyle w:val="TM3"/>
            <w:tabs>
              <w:tab w:val="right" w:leader="dot" w:pos="9062"/>
            </w:tabs>
            <w:rPr>
              <w:rFonts w:asciiTheme="minorHAnsi" w:eastAsiaTheme="minorEastAsia" w:hAnsiTheme="minorHAnsi"/>
              <w:noProof/>
              <w:lang w:eastAsia="fr-FR"/>
            </w:rPr>
          </w:pPr>
          <w:hyperlink w:anchor="_Toc385923206" w:history="1">
            <w:r w:rsidRPr="00901752">
              <w:rPr>
                <w:rStyle w:val="Lienhypertexte"/>
                <w:noProof/>
              </w:rPr>
              <w:t>31. La réception de l’exposition à Québec</w:t>
            </w:r>
            <w:r>
              <w:rPr>
                <w:noProof/>
                <w:webHidden/>
              </w:rPr>
              <w:tab/>
            </w:r>
            <w:r>
              <w:rPr>
                <w:noProof/>
                <w:webHidden/>
              </w:rPr>
              <w:fldChar w:fldCharType="begin"/>
            </w:r>
            <w:r>
              <w:rPr>
                <w:noProof/>
                <w:webHidden/>
              </w:rPr>
              <w:instrText xml:space="preserve"> PAGEREF _Toc385923206 \h </w:instrText>
            </w:r>
            <w:r>
              <w:rPr>
                <w:noProof/>
                <w:webHidden/>
              </w:rPr>
            </w:r>
            <w:r>
              <w:rPr>
                <w:noProof/>
                <w:webHidden/>
              </w:rPr>
              <w:fldChar w:fldCharType="separate"/>
            </w:r>
            <w:r>
              <w:rPr>
                <w:noProof/>
                <w:webHidden/>
              </w:rPr>
              <w:t>19</w:t>
            </w:r>
            <w:r>
              <w:rPr>
                <w:noProof/>
                <w:webHidden/>
              </w:rPr>
              <w:fldChar w:fldCharType="end"/>
            </w:r>
          </w:hyperlink>
        </w:p>
        <w:p w:rsidR="007A429B" w:rsidRDefault="007A429B">
          <w:pPr>
            <w:pStyle w:val="TM3"/>
            <w:tabs>
              <w:tab w:val="right" w:leader="dot" w:pos="9062"/>
            </w:tabs>
            <w:rPr>
              <w:rFonts w:asciiTheme="minorHAnsi" w:eastAsiaTheme="minorEastAsia" w:hAnsiTheme="minorHAnsi"/>
              <w:noProof/>
              <w:lang w:eastAsia="fr-FR"/>
            </w:rPr>
          </w:pPr>
          <w:hyperlink w:anchor="_Toc385923207" w:history="1">
            <w:r w:rsidRPr="00901752">
              <w:rPr>
                <w:rStyle w:val="Lienhypertexte"/>
                <w:noProof/>
                <w:lang w:val="fr-CA"/>
              </w:rPr>
              <w:t>32. La réception de l’exposition à Paris</w:t>
            </w:r>
            <w:r>
              <w:rPr>
                <w:noProof/>
                <w:webHidden/>
              </w:rPr>
              <w:tab/>
            </w:r>
            <w:r>
              <w:rPr>
                <w:noProof/>
                <w:webHidden/>
              </w:rPr>
              <w:fldChar w:fldCharType="begin"/>
            </w:r>
            <w:r>
              <w:rPr>
                <w:noProof/>
                <w:webHidden/>
              </w:rPr>
              <w:instrText xml:space="preserve"> PAGEREF _Toc385923207 \h </w:instrText>
            </w:r>
            <w:r>
              <w:rPr>
                <w:noProof/>
                <w:webHidden/>
              </w:rPr>
            </w:r>
            <w:r>
              <w:rPr>
                <w:noProof/>
                <w:webHidden/>
              </w:rPr>
              <w:fldChar w:fldCharType="separate"/>
            </w:r>
            <w:r>
              <w:rPr>
                <w:noProof/>
                <w:webHidden/>
              </w:rPr>
              <w:t>19</w:t>
            </w:r>
            <w:r>
              <w:rPr>
                <w:noProof/>
                <w:webHidden/>
              </w:rPr>
              <w:fldChar w:fldCharType="end"/>
            </w:r>
          </w:hyperlink>
        </w:p>
        <w:p w:rsidR="007A429B" w:rsidRDefault="007A429B">
          <w:pPr>
            <w:pStyle w:val="TM1"/>
            <w:tabs>
              <w:tab w:val="right" w:leader="dot" w:pos="9062"/>
            </w:tabs>
            <w:rPr>
              <w:rFonts w:asciiTheme="minorHAnsi" w:eastAsiaTheme="minorEastAsia" w:hAnsiTheme="minorHAnsi"/>
              <w:noProof/>
              <w:lang w:eastAsia="fr-FR"/>
            </w:rPr>
          </w:pPr>
          <w:hyperlink w:anchor="_Toc385923208" w:history="1">
            <w:r w:rsidRPr="00901752">
              <w:rPr>
                <w:rStyle w:val="Lienhypertexte"/>
                <w:noProof/>
              </w:rPr>
              <w:t>CONCLUSION</w:t>
            </w:r>
            <w:r>
              <w:rPr>
                <w:noProof/>
                <w:webHidden/>
              </w:rPr>
              <w:tab/>
            </w:r>
            <w:r>
              <w:rPr>
                <w:noProof/>
                <w:webHidden/>
              </w:rPr>
              <w:fldChar w:fldCharType="begin"/>
            </w:r>
            <w:r>
              <w:rPr>
                <w:noProof/>
                <w:webHidden/>
              </w:rPr>
              <w:instrText xml:space="preserve"> PAGEREF _Toc385923208 \h </w:instrText>
            </w:r>
            <w:r>
              <w:rPr>
                <w:noProof/>
                <w:webHidden/>
              </w:rPr>
            </w:r>
            <w:r>
              <w:rPr>
                <w:noProof/>
                <w:webHidden/>
              </w:rPr>
              <w:fldChar w:fldCharType="separate"/>
            </w:r>
            <w:r>
              <w:rPr>
                <w:noProof/>
                <w:webHidden/>
              </w:rPr>
              <w:t>19</w:t>
            </w:r>
            <w:r>
              <w:rPr>
                <w:noProof/>
                <w:webHidden/>
              </w:rPr>
              <w:fldChar w:fldCharType="end"/>
            </w:r>
          </w:hyperlink>
        </w:p>
        <w:p w:rsidR="007A429B" w:rsidRDefault="007A429B">
          <w:pPr>
            <w:pStyle w:val="TM2"/>
            <w:tabs>
              <w:tab w:val="right" w:leader="dot" w:pos="9062"/>
            </w:tabs>
            <w:rPr>
              <w:rFonts w:asciiTheme="minorHAnsi" w:eastAsiaTheme="minorEastAsia" w:hAnsiTheme="minorHAnsi"/>
              <w:noProof/>
              <w:lang w:eastAsia="fr-FR"/>
            </w:rPr>
          </w:pPr>
          <w:hyperlink w:anchor="_Toc385923209" w:history="1">
            <w:r w:rsidRPr="00901752">
              <w:rPr>
                <w:rStyle w:val="Lienhypertexte"/>
                <w:noProof/>
              </w:rPr>
              <w:t>1. Perspectives</w:t>
            </w:r>
            <w:r>
              <w:rPr>
                <w:noProof/>
                <w:webHidden/>
              </w:rPr>
              <w:tab/>
            </w:r>
            <w:r>
              <w:rPr>
                <w:noProof/>
                <w:webHidden/>
              </w:rPr>
              <w:fldChar w:fldCharType="begin"/>
            </w:r>
            <w:r>
              <w:rPr>
                <w:noProof/>
                <w:webHidden/>
              </w:rPr>
              <w:instrText xml:space="preserve"> PAGEREF _Toc385923209 \h </w:instrText>
            </w:r>
            <w:r>
              <w:rPr>
                <w:noProof/>
                <w:webHidden/>
              </w:rPr>
            </w:r>
            <w:r>
              <w:rPr>
                <w:noProof/>
                <w:webHidden/>
              </w:rPr>
              <w:fldChar w:fldCharType="separate"/>
            </w:r>
            <w:r>
              <w:rPr>
                <w:noProof/>
                <w:webHidden/>
              </w:rPr>
              <w:t>19</w:t>
            </w:r>
            <w:r>
              <w:rPr>
                <w:noProof/>
                <w:webHidden/>
              </w:rPr>
              <w:fldChar w:fldCharType="end"/>
            </w:r>
          </w:hyperlink>
        </w:p>
        <w:p w:rsidR="007A429B" w:rsidRDefault="007A429B">
          <w:pPr>
            <w:pStyle w:val="TM3"/>
            <w:tabs>
              <w:tab w:val="right" w:leader="dot" w:pos="9062"/>
            </w:tabs>
            <w:rPr>
              <w:rFonts w:asciiTheme="minorHAnsi" w:eastAsiaTheme="minorEastAsia" w:hAnsiTheme="minorHAnsi"/>
              <w:noProof/>
              <w:lang w:eastAsia="fr-FR"/>
            </w:rPr>
          </w:pPr>
          <w:hyperlink w:anchor="_Toc385923210" w:history="1">
            <w:r w:rsidRPr="00901752">
              <w:rPr>
                <w:rStyle w:val="Lienhypertexte"/>
                <w:noProof/>
              </w:rPr>
              <w:t>11. Interculturalité et professionnalisation</w:t>
            </w:r>
            <w:r>
              <w:rPr>
                <w:noProof/>
                <w:webHidden/>
              </w:rPr>
              <w:tab/>
            </w:r>
            <w:r>
              <w:rPr>
                <w:noProof/>
                <w:webHidden/>
              </w:rPr>
              <w:fldChar w:fldCharType="begin"/>
            </w:r>
            <w:r>
              <w:rPr>
                <w:noProof/>
                <w:webHidden/>
              </w:rPr>
              <w:instrText xml:space="preserve"> PAGEREF _Toc385923210 \h </w:instrText>
            </w:r>
            <w:r>
              <w:rPr>
                <w:noProof/>
                <w:webHidden/>
              </w:rPr>
            </w:r>
            <w:r>
              <w:rPr>
                <w:noProof/>
                <w:webHidden/>
              </w:rPr>
              <w:fldChar w:fldCharType="separate"/>
            </w:r>
            <w:r>
              <w:rPr>
                <w:noProof/>
                <w:webHidden/>
              </w:rPr>
              <w:t>19</w:t>
            </w:r>
            <w:r>
              <w:rPr>
                <w:noProof/>
                <w:webHidden/>
              </w:rPr>
              <w:fldChar w:fldCharType="end"/>
            </w:r>
          </w:hyperlink>
        </w:p>
        <w:p w:rsidR="007A429B" w:rsidRDefault="007A429B">
          <w:pPr>
            <w:pStyle w:val="TM3"/>
            <w:tabs>
              <w:tab w:val="right" w:leader="dot" w:pos="9062"/>
            </w:tabs>
            <w:rPr>
              <w:rFonts w:asciiTheme="minorHAnsi" w:eastAsiaTheme="minorEastAsia" w:hAnsiTheme="minorHAnsi"/>
              <w:noProof/>
              <w:lang w:eastAsia="fr-FR"/>
            </w:rPr>
          </w:pPr>
          <w:hyperlink w:anchor="_Toc385923211" w:history="1">
            <w:r w:rsidRPr="00901752">
              <w:rPr>
                <w:rStyle w:val="Lienhypertexte"/>
                <w:noProof/>
              </w:rPr>
              <w:t>12. Conceptions et réceptions comparées de l’autochtonie</w:t>
            </w:r>
            <w:r>
              <w:rPr>
                <w:noProof/>
                <w:webHidden/>
              </w:rPr>
              <w:tab/>
            </w:r>
            <w:r>
              <w:rPr>
                <w:noProof/>
                <w:webHidden/>
              </w:rPr>
              <w:fldChar w:fldCharType="begin"/>
            </w:r>
            <w:r>
              <w:rPr>
                <w:noProof/>
                <w:webHidden/>
              </w:rPr>
              <w:instrText xml:space="preserve"> PAGEREF _Toc385923211 \h </w:instrText>
            </w:r>
            <w:r>
              <w:rPr>
                <w:noProof/>
                <w:webHidden/>
              </w:rPr>
            </w:r>
            <w:r>
              <w:rPr>
                <w:noProof/>
                <w:webHidden/>
              </w:rPr>
              <w:fldChar w:fldCharType="separate"/>
            </w:r>
            <w:r>
              <w:rPr>
                <w:noProof/>
                <w:webHidden/>
              </w:rPr>
              <w:t>20</w:t>
            </w:r>
            <w:r>
              <w:rPr>
                <w:noProof/>
                <w:webHidden/>
              </w:rPr>
              <w:fldChar w:fldCharType="end"/>
            </w:r>
          </w:hyperlink>
        </w:p>
        <w:p w:rsidR="007A429B" w:rsidRDefault="007A429B">
          <w:pPr>
            <w:pStyle w:val="TM3"/>
            <w:tabs>
              <w:tab w:val="right" w:leader="dot" w:pos="9062"/>
            </w:tabs>
            <w:rPr>
              <w:rFonts w:asciiTheme="minorHAnsi" w:eastAsiaTheme="minorEastAsia" w:hAnsiTheme="minorHAnsi"/>
              <w:noProof/>
              <w:lang w:eastAsia="fr-FR"/>
            </w:rPr>
          </w:pPr>
          <w:hyperlink w:anchor="_Toc385923212" w:history="1">
            <w:r w:rsidRPr="00901752">
              <w:rPr>
                <w:rStyle w:val="Lienhypertexte"/>
                <w:noProof/>
              </w:rPr>
              <w:t>13. Conceptions du patrimoine et rôle du musée</w:t>
            </w:r>
            <w:r>
              <w:rPr>
                <w:noProof/>
                <w:webHidden/>
              </w:rPr>
              <w:tab/>
            </w:r>
            <w:r>
              <w:rPr>
                <w:noProof/>
                <w:webHidden/>
              </w:rPr>
              <w:fldChar w:fldCharType="begin"/>
            </w:r>
            <w:r>
              <w:rPr>
                <w:noProof/>
                <w:webHidden/>
              </w:rPr>
              <w:instrText xml:space="preserve"> PAGEREF _Toc385923212 \h </w:instrText>
            </w:r>
            <w:r>
              <w:rPr>
                <w:noProof/>
                <w:webHidden/>
              </w:rPr>
            </w:r>
            <w:r>
              <w:rPr>
                <w:noProof/>
                <w:webHidden/>
              </w:rPr>
              <w:fldChar w:fldCharType="separate"/>
            </w:r>
            <w:r>
              <w:rPr>
                <w:noProof/>
                <w:webHidden/>
              </w:rPr>
              <w:t>20</w:t>
            </w:r>
            <w:r>
              <w:rPr>
                <w:noProof/>
                <w:webHidden/>
              </w:rPr>
              <w:fldChar w:fldCharType="end"/>
            </w:r>
          </w:hyperlink>
        </w:p>
        <w:p w:rsidR="007A429B" w:rsidRDefault="007A429B">
          <w:pPr>
            <w:pStyle w:val="TM2"/>
            <w:tabs>
              <w:tab w:val="right" w:leader="dot" w:pos="9062"/>
            </w:tabs>
            <w:rPr>
              <w:rFonts w:asciiTheme="minorHAnsi" w:eastAsiaTheme="minorEastAsia" w:hAnsiTheme="minorHAnsi"/>
              <w:noProof/>
              <w:lang w:eastAsia="fr-FR"/>
            </w:rPr>
          </w:pPr>
          <w:hyperlink w:anchor="_Toc385923213" w:history="1">
            <w:r w:rsidRPr="00901752">
              <w:rPr>
                <w:rStyle w:val="Lienhypertexte"/>
                <w:noProof/>
              </w:rPr>
              <w:t>2. Travaux en cours et prévus</w:t>
            </w:r>
            <w:r>
              <w:rPr>
                <w:noProof/>
                <w:webHidden/>
              </w:rPr>
              <w:tab/>
            </w:r>
            <w:r>
              <w:rPr>
                <w:noProof/>
                <w:webHidden/>
              </w:rPr>
              <w:fldChar w:fldCharType="begin"/>
            </w:r>
            <w:r>
              <w:rPr>
                <w:noProof/>
                <w:webHidden/>
              </w:rPr>
              <w:instrText xml:space="preserve"> PAGEREF _Toc385923213 \h </w:instrText>
            </w:r>
            <w:r>
              <w:rPr>
                <w:noProof/>
                <w:webHidden/>
              </w:rPr>
            </w:r>
            <w:r>
              <w:rPr>
                <w:noProof/>
                <w:webHidden/>
              </w:rPr>
              <w:fldChar w:fldCharType="separate"/>
            </w:r>
            <w:r>
              <w:rPr>
                <w:noProof/>
                <w:webHidden/>
              </w:rPr>
              <w:t>20</w:t>
            </w:r>
            <w:r>
              <w:rPr>
                <w:noProof/>
                <w:webHidden/>
              </w:rPr>
              <w:fldChar w:fldCharType="end"/>
            </w:r>
          </w:hyperlink>
        </w:p>
        <w:p w:rsidR="007A429B" w:rsidRDefault="007A429B">
          <w:pPr>
            <w:pStyle w:val="TM3"/>
            <w:tabs>
              <w:tab w:val="right" w:leader="dot" w:pos="9062"/>
            </w:tabs>
            <w:rPr>
              <w:rFonts w:asciiTheme="minorHAnsi" w:eastAsiaTheme="minorEastAsia" w:hAnsiTheme="minorHAnsi"/>
              <w:noProof/>
              <w:lang w:eastAsia="fr-FR"/>
            </w:rPr>
          </w:pPr>
          <w:hyperlink w:anchor="_Toc385923214" w:history="1">
            <w:r w:rsidRPr="00901752">
              <w:rPr>
                <w:rStyle w:val="Lienhypertexte"/>
                <w:noProof/>
              </w:rPr>
              <w:t>21. Communication</w:t>
            </w:r>
            <w:r>
              <w:rPr>
                <w:noProof/>
                <w:webHidden/>
              </w:rPr>
              <w:tab/>
            </w:r>
            <w:r>
              <w:rPr>
                <w:noProof/>
                <w:webHidden/>
              </w:rPr>
              <w:fldChar w:fldCharType="begin"/>
            </w:r>
            <w:r>
              <w:rPr>
                <w:noProof/>
                <w:webHidden/>
              </w:rPr>
              <w:instrText xml:space="preserve"> PAGEREF _Toc385923214 \h </w:instrText>
            </w:r>
            <w:r>
              <w:rPr>
                <w:noProof/>
                <w:webHidden/>
              </w:rPr>
            </w:r>
            <w:r>
              <w:rPr>
                <w:noProof/>
                <w:webHidden/>
              </w:rPr>
              <w:fldChar w:fldCharType="separate"/>
            </w:r>
            <w:r>
              <w:rPr>
                <w:noProof/>
                <w:webHidden/>
              </w:rPr>
              <w:t>20</w:t>
            </w:r>
            <w:r>
              <w:rPr>
                <w:noProof/>
                <w:webHidden/>
              </w:rPr>
              <w:fldChar w:fldCharType="end"/>
            </w:r>
          </w:hyperlink>
        </w:p>
        <w:p w:rsidR="007A429B" w:rsidRDefault="007A429B">
          <w:pPr>
            <w:pStyle w:val="TM3"/>
            <w:tabs>
              <w:tab w:val="right" w:leader="dot" w:pos="9062"/>
            </w:tabs>
            <w:rPr>
              <w:rFonts w:asciiTheme="minorHAnsi" w:eastAsiaTheme="minorEastAsia" w:hAnsiTheme="minorHAnsi"/>
              <w:noProof/>
              <w:lang w:eastAsia="fr-FR"/>
            </w:rPr>
          </w:pPr>
          <w:hyperlink w:anchor="_Toc385923215" w:history="1">
            <w:r w:rsidRPr="00901752">
              <w:rPr>
                <w:rStyle w:val="Lienhypertexte"/>
                <w:noProof/>
              </w:rPr>
              <w:t>22. Articles</w:t>
            </w:r>
            <w:r>
              <w:rPr>
                <w:noProof/>
                <w:webHidden/>
              </w:rPr>
              <w:tab/>
            </w:r>
            <w:r>
              <w:rPr>
                <w:noProof/>
                <w:webHidden/>
              </w:rPr>
              <w:fldChar w:fldCharType="begin"/>
            </w:r>
            <w:r>
              <w:rPr>
                <w:noProof/>
                <w:webHidden/>
              </w:rPr>
              <w:instrText xml:space="preserve"> PAGEREF _Toc385923215 \h </w:instrText>
            </w:r>
            <w:r>
              <w:rPr>
                <w:noProof/>
                <w:webHidden/>
              </w:rPr>
            </w:r>
            <w:r>
              <w:rPr>
                <w:noProof/>
                <w:webHidden/>
              </w:rPr>
              <w:fldChar w:fldCharType="separate"/>
            </w:r>
            <w:r>
              <w:rPr>
                <w:noProof/>
                <w:webHidden/>
              </w:rPr>
              <w:t>20</w:t>
            </w:r>
            <w:r>
              <w:rPr>
                <w:noProof/>
                <w:webHidden/>
              </w:rPr>
              <w:fldChar w:fldCharType="end"/>
            </w:r>
          </w:hyperlink>
        </w:p>
        <w:p w:rsidR="0012327C" w:rsidRDefault="0012327C" w:rsidP="00A00BAA">
          <w:r>
            <w:rPr>
              <w:b/>
              <w:bCs/>
            </w:rPr>
            <w:fldChar w:fldCharType="end"/>
          </w:r>
        </w:p>
      </w:sdtContent>
    </w:sdt>
    <w:p w:rsidR="0012327C" w:rsidRPr="002D5221" w:rsidRDefault="0012327C" w:rsidP="00A00BAA">
      <w:pPr>
        <w:rPr>
          <w:rFonts w:eastAsia="Times New Roman" w:cs="Times New Roman"/>
          <w:sz w:val="24"/>
          <w:lang w:eastAsia="fr-FR"/>
        </w:rPr>
      </w:pPr>
    </w:p>
    <w:p w:rsidR="002D5221" w:rsidRPr="002D5221" w:rsidRDefault="002D5221" w:rsidP="00A00BAA">
      <w:pPr>
        <w:rPr>
          <w:rFonts w:eastAsia="Times New Roman" w:cs="Times New Roman"/>
          <w:sz w:val="24"/>
          <w:lang w:eastAsia="fr-FR"/>
        </w:rPr>
      </w:pPr>
    </w:p>
    <w:p w:rsidR="002D5221" w:rsidRPr="002D5221" w:rsidRDefault="002D5221" w:rsidP="00A00BAA">
      <w:pPr>
        <w:rPr>
          <w:rFonts w:eastAsia="Times New Roman" w:cs="Times New Roman"/>
          <w:sz w:val="24"/>
          <w:lang w:eastAsia="fr-FR"/>
        </w:rPr>
      </w:pPr>
    </w:p>
    <w:p w:rsidR="007E71B3" w:rsidRDefault="0012327C" w:rsidP="00A00BAA">
      <w:pPr>
        <w:pStyle w:val="Titre1"/>
        <w:rPr>
          <w:rFonts w:eastAsia="Times New Roman"/>
          <w:lang w:eastAsia="fr-FR"/>
        </w:rPr>
      </w:pPr>
      <w:bookmarkStart w:id="1" w:name="_Toc385923184"/>
      <w:r>
        <w:rPr>
          <w:rFonts w:eastAsia="Times New Roman"/>
          <w:lang w:eastAsia="fr-FR"/>
        </w:rPr>
        <w:lastRenderedPageBreak/>
        <w:t>I. RAPPEL DU PROJET</w:t>
      </w:r>
      <w:bookmarkEnd w:id="1"/>
      <w:r>
        <w:rPr>
          <w:rFonts w:eastAsia="Times New Roman"/>
          <w:lang w:eastAsia="fr-FR"/>
        </w:rPr>
        <w:t> </w:t>
      </w:r>
    </w:p>
    <w:p w:rsidR="007E71B3" w:rsidRDefault="007E71B3" w:rsidP="00A00BAA">
      <w:pPr>
        <w:shd w:val="clear" w:color="auto" w:fill="FFFFFF"/>
        <w:spacing w:after="0" w:line="240" w:lineRule="auto"/>
        <w:rPr>
          <w:rFonts w:ascii="Helvetica" w:eastAsia="Times New Roman" w:hAnsi="Helvetica" w:cs="Helvetica"/>
          <w:color w:val="222222"/>
          <w:lang w:eastAsia="fr-FR"/>
        </w:rPr>
      </w:pPr>
    </w:p>
    <w:p w:rsidR="00CF6DD2" w:rsidRPr="00A00BAA" w:rsidRDefault="007E71B3" w:rsidP="00A00BAA">
      <w:pPr>
        <w:pStyle w:val="Titre2"/>
        <w:rPr>
          <w:rFonts w:eastAsia="Times New Roman"/>
          <w:lang w:eastAsia="fr-FR"/>
        </w:rPr>
      </w:pPr>
      <w:bookmarkStart w:id="2" w:name="_Toc385923185"/>
      <w:r>
        <w:rPr>
          <w:rFonts w:eastAsia="Times New Roman"/>
          <w:lang w:eastAsia="fr-FR"/>
        </w:rPr>
        <w:t xml:space="preserve">1. </w:t>
      </w:r>
      <w:r w:rsidR="0012327C">
        <w:rPr>
          <w:rFonts w:eastAsia="Times New Roman"/>
          <w:lang w:eastAsia="fr-FR"/>
        </w:rPr>
        <w:t>Problématique et objectifs</w:t>
      </w:r>
      <w:bookmarkEnd w:id="2"/>
    </w:p>
    <w:p w:rsidR="00CF6DD2" w:rsidRPr="00CF6DD2" w:rsidRDefault="00A00BAA" w:rsidP="00E435E3">
      <w:pPr>
        <w:rPr>
          <w:lang w:eastAsia="fr-FR"/>
        </w:rPr>
      </w:pPr>
      <w:r>
        <w:rPr>
          <w:lang w:eastAsia="fr-FR"/>
        </w:rPr>
        <w:t>L</w:t>
      </w:r>
      <w:r w:rsidR="00CF6DD2" w:rsidRPr="00CF6DD2">
        <w:rPr>
          <w:lang w:eastAsia="fr-FR"/>
        </w:rPr>
        <w:t xml:space="preserve">e </w:t>
      </w:r>
      <w:r>
        <w:rPr>
          <w:lang w:eastAsia="fr-FR"/>
        </w:rPr>
        <w:t xml:space="preserve">présent </w:t>
      </w:r>
      <w:r w:rsidR="00CF6DD2" w:rsidRPr="00CF6DD2">
        <w:rPr>
          <w:lang w:eastAsia="fr-FR"/>
        </w:rPr>
        <w:t xml:space="preserve">rapport </w:t>
      </w:r>
      <w:r>
        <w:rPr>
          <w:lang w:eastAsia="fr-FR"/>
        </w:rPr>
        <w:t xml:space="preserve">présente les résultats de la </w:t>
      </w:r>
      <w:r w:rsidR="00CF6DD2" w:rsidRPr="00CF6DD2">
        <w:rPr>
          <w:lang w:eastAsia="fr-FR"/>
        </w:rPr>
        <w:t xml:space="preserve">recherche menée sur une exposition </w:t>
      </w:r>
      <w:r w:rsidR="00CF6DD2" w:rsidRPr="00CF6DD2">
        <w:rPr>
          <w:bCs/>
          <w:lang w:eastAsia="fr-FR"/>
        </w:rPr>
        <w:t xml:space="preserve">initialement </w:t>
      </w:r>
      <w:r w:rsidR="00CF6DD2" w:rsidRPr="00CF6DD2">
        <w:rPr>
          <w:lang w:eastAsia="fr-FR"/>
        </w:rPr>
        <w:t xml:space="preserve">conçue par le musée Te Papa </w:t>
      </w:r>
      <w:proofErr w:type="spellStart"/>
      <w:r w:rsidR="00CF6DD2" w:rsidRPr="00CF6DD2">
        <w:rPr>
          <w:lang w:eastAsia="fr-FR"/>
        </w:rPr>
        <w:t>Tongarewa</w:t>
      </w:r>
      <w:proofErr w:type="spellEnd"/>
      <w:r w:rsidR="00CF6DD2" w:rsidRPr="00CF6DD2">
        <w:rPr>
          <w:lang w:eastAsia="fr-FR"/>
        </w:rPr>
        <w:t xml:space="preserve"> de Wellington, en Nouvelle-Zélande « E </w:t>
      </w:r>
      <w:proofErr w:type="spellStart"/>
      <w:r w:rsidR="00CF6DD2" w:rsidRPr="00CF6DD2">
        <w:rPr>
          <w:lang w:eastAsia="fr-FR"/>
        </w:rPr>
        <w:t>tū</w:t>
      </w:r>
      <w:proofErr w:type="spellEnd"/>
      <w:r w:rsidR="00CF6DD2" w:rsidRPr="00CF6DD2">
        <w:rPr>
          <w:lang w:eastAsia="fr-FR"/>
        </w:rPr>
        <w:t xml:space="preserve"> </w:t>
      </w:r>
      <w:proofErr w:type="spellStart"/>
      <w:r w:rsidR="00CF6DD2" w:rsidRPr="00CF6DD2">
        <w:rPr>
          <w:lang w:eastAsia="fr-FR"/>
        </w:rPr>
        <w:t>Ake</w:t>
      </w:r>
      <w:proofErr w:type="spellEnd"/>
      <w:r w:rsidR="00CF6DD2" w:rsidRPr="00CF6DD2">
        <w:rPr>
          <w:lang w:eastAsia="fr-FR"/>
        </w:rPr>
        <w:t xml:space="preserve"> : (Standing </w:t>
      </w:r>
      <w:proofErr w:type="spellStart"/>
      <w:r w:rsidR="00CF6DD2" w:rsidRPr="00CF6DD2">
        <w:rPr>
          <w:lang w:eastAsia="fr-FR"/>
        </w:rPr>
        <w:t>Strong</w:t>
      </w:r>
      <w:proofErr w:type="spellEnd"/>
      <w:r w:rsidR="00CF6DD2" w:rsidRPr="00CF6DD2">
        <w:rPr>
          <w:lang w:eastAsia="fr-FR"/>
        </w:rPr>
        <w:t xml:space="preserve">) ». </w:t>
      </w:r>
    </w:p>
    <w:p w:rsidR="00CF6DD2" w:rsidRDefault="00CF6DD2" w:rsidP="00E435E3">
      <w:pPr>
        <w:rPr>
          <w:lang w:eastAsia="fr-FR"/>
        </w:rPr>
      </w:pPr>
      <w:r w:rsidRPr="00CF6DD2">
        <w:rPr>
          <w:lang w:eastAsia="fr-FR"/>
        </w:rPr>
        <w:t xml:space="preserve">L’exposition « E </w:t>
      </w:r>
      <w:proofErr w:type="spellStart"/>
      <w:r w:rsidRPr="00CF6DD2">
        <w:rPr>
          <w:lang w:eastAsia="fr-FR"/>
        </w:rPr>
        <w:t>tū</w:t>
      </w:r>
      <w:proofErr w:type="spellEnd"/>
      <w:r w:rsidRPr="00CF6DD2">
        <w:rPr>
          <w:lang w:eastAsia="fr-FR"/>
        </w:rPr>
        <w:t xml:space="preserve"> </w:t>
      </w:r>
      <w:proofErr w:type="spellStart"/>
      <w:r w:rsidRPr="00CF6DD2">
        <w:rPr>
          <w:lang w:eastAsia="fr-FR"/>
        </w:rPr>
        <w:t>Ake</w:t>
      </w:r>
      <w:proofErr w:type="spellEnd"/>
      <w:r w:rsidRPr="00CF6DD2">
        <w:rPr>
          <w:lang w:eastAsia="fr-FR"/>
        </w:rPr>
        <w:t> » se veut un autoportrait des Maori. Elle articule la présentation d’artefacts anciens et contemporains à un propos centré sur la persistance culturelle, l’affirmation identitaire et les revendications politiques. Après sa présentation à Wellington, elle a été présentée en 2011 au musée du quai Branly, à Paris, et en 2013 au musée de la Civilisation de Québec. Considérant l’exposition itinérante comm</w:t>
      </w:r>
      <w:r w:rsidR="00A00BAA">
        <w:rPr>
          <w:lang w:eastAsia="fr-FR"/>
        </w:rPr>
        <w:t>e « zone de contact » mobile (J. Cliffor</w:t>
      </w:r>
      <w:r w:rsidRPr="00CF6DD2">
        <w:rPr>
          <w:lang w:eastAsia="fr-FR"/>
        </w:rPr>
        <w:t>d), la recherche vise à comprendre les transformations de l’exposition, tant au niveau de sa production scénographique, des pratiques muséographiques des professionnels et de sa réception par les publics, dans trois contextes nationaux différents. Elle permet à travers l’étude de ce cas d’interroger les pratiques muséologiques en situation d’interculturalité, de comprendre la circulation et la réception d’une muséographie autochtone, et de cerner les conditions d’une muséologie postcoloniale.</w:t>
      </w:r>
    </w:p>
    <w:p w:rsidR="00CF6DD2" w:rsidRPr="00A00BAA" w:rsidRDefault="00CF6DD2" w:rsidP="00A00BAA">
      <w:pPr>
        <w:rPr>
          <w:bCs/>
          <w:lang w:eastAsia="fr-FR"/>
        </w:rPr>
      </w:pPr>
      <w:r w:rsidRPr="00CF6DD2">
        <w:rPr>
          <w:bCs/>
          <w:lang w:eastAsia="fr-FR"/>
        </w:rPr>
        <w:t xml:space="preserve">A travers ce cas nous interrogeons la notion d’exposition comme zone de contact élaborée par James Clifford. S’inspirant de Marie Louise </w:t>
      </w:r>
      <w:proofErr w:type="gramStart"/>
      <w:r w:rsidRPr="00CF6DD2">
        <w:rPr>
          <w:bCs/>
          <w:lang w:eastAsia="fr-FR"/>
        </w:rPr>
        <w:t>Pratt ,</w:t>
      </w:r>
      <w:proofErr w:type="gramEnd"/>
      <w:r w:rsidRPr="00CF6DD2">
        <w:rPr>
          <w:bCs/>
          <w:lang w:eastAsia="fr-FR"/>
        </w:rPr>
        <w:t xml:space="preserve"> Clifford considère le musée comme </w:t>
      </w:r>
      <w:r w:rsidRPr="00CF6DD2">
        <w:rPr>
          <w:lang w:eastAsia="fr-FR"/>
        </w:rPr>
        <w:t>« un lieu où des cultures et des communautés différentes se croisent, interagissent, et sont mutuellement influencées par la rencontre »</w:t>
      </w:r>
      <w:r w:rsidRPr="00CF6DD2">
        <w:rPr>
          <w:vertAlign w:val="superscript"/>
          <w:lang w:eastAsia="fr-FR"/>
        </w:rPr>
        <w:footnoteReference w:id="1"/>
      </w:r>
      <w:r w:rsidRPr="00CF6DD2">
        <w:rPr>
          <w:lang w:eastAsia="fr-FR"/>
        </w:rPr>
        <w:t>.</w:t>
      </w:r>
      <w:r w:rsidR="00A00BAA">
        <w:rPr>
          <w:bCs/>
          <w:lang w:eastAsia="fr-FR"/>
        </w:rPr>
        <w:t xml:space="preserve"> Comme le commente McCarthy, </w:t>
      </w:r>
    </w:p>
    <w:p w:rsidR="00CF6DD2" w:rsidRPr="00CF6DD2" w:rsidRDefault="00CF6DD2" w:rsidP="00A00BAA">
      <w:pPr>
        <w:rPr>
          <w:lang w:eastAsia="fr-FR"/>
        </w:rPr>
      </w:pPr>
      <w:r w:rsidRPr="00CF6DD2">
        <w:rPr>
          <w:lang w:eastAsia="fr-FR"/>
        </w:rPr>
        <w:t>« Malgré des conflits inévitables dans des situations de pouvoir asymétriques, Clifford montre comment ces relations peuvent être productives, [quand] des cultures « traditionnelles nouvelles » ont été réinventées à partir des ressources du musée. Dans les états « post-</w:t>
      </w:r>
      <w:proofErr w:type="spellStart"/>
      <w:r w:rsidRPr="00CF6DD2">
        <w:rPr>
          <w:lang w:eastAsia="fr-FR"/>
        </w:rPr>
        <w:t>settlers</w:t>
      </w:r>
      <w:proofErr w:type="spellEnd"/>
      <w:r w:rsidRPr="00CF6DD2">
        <w:rPr>
          <w:lang w:eastAsia="fr-FR"/>
        </w:rPr>
        <w:t> », cet engagement mutuel est encore plus marqué parce que les peuples autochtones ne sont pas éloignés dan</w:t>
      </w:r>
      <w:r w:rsidR="00A00BAA">
        <w:rPr>
          <w:lang w:eastAsia="fr-FR"/>
        </w:rPr>
        <w:t>s le temps et dans l’espace, « </w:t>
      </w:r>
      <w:r w:rsidRPr="00CF6DD2">
        <w:rPr>
          <w:lang w:eastAsia="fr-FR"/>
        </w:rPr>
        <w:t>loin là-bas, et dans le temps » comme on le disait, mais bien présent ici et maintenant. </w:t>
      </w:r>
      <w:proofErr w:type="gramStart"/>
      <w:r w:rsidRPr="00CF6DD2">
        <w:rPr>
          <w:lang w:eastAsia="fr-FR"/>
        </w:rPr>
        <w:t>»(</w:t>
      </w:r>
      <w:proofErr w:type="gramEnd"/>
      <w:r w:rsidRPr="00CF6DD2">
        <w:rPr>
          <w:lang w:eastAsia="fr-FR"/>
        </w:rPr>
        <w:t>2011 : 5)</w:t>
      </w:r>
    </w:p>
    <w:p w:rsidR="007E71B3" w:rsidRDefault="007E71B3" w:rsidP="00A00BAA">
      <w:pPr>
        <w:shd w:val="clear" w:color="auto" w:fill="FFFFFF"/>
        <w:spacing w:after="0" w:line="240" w:lineRule="auto"/>
        <w:rPr>
          <w:rFonts w:ascii="Helvetica" w:eastAsia="Times New Roman" w:hAnsi="Helvetica" w:cs="Helvetica"/>
          <w:color w:val="222222"/>
          <w:lang w:eastAsia="fr-FR"/>
        </w:rPr>
      </w:pPr>
    </w:p>
    <w:p w:rsidR="00A00BAA" w:rsidRPr="00E435E3" w:rsidRDefault="00A00BAA" w:rsidP="00A00BAA">
      <w:pPr>
        <w:rPr>
          <w:rFonts w:eastAsia="Times New Roman" w:cs="Times New Roman"/>
          <w:lang w:eastAsia="fr-FR"/>
        </w:rPr>
      </w:pPr>
      <w:r w:rsidRPr="00E435E3">
        <w:rPr>
          <w:rFonts w:eastAsia="Times New Roman" w:cs="Times New Roman"/>
          <w:lang w:eastAsia="fr-FR"/>
        </w:rPr>
        <w:t>Dans cette exposition, consacrée à la démonstration de la vitalité et de la diversité de la culture maorie, nous nous intéressons en particulier aux façons d’aborder (ou non) les mouvements politiques en faveur de la reconnaissance, des revendications ou de l’autonomisation des communautés autochtones et leur réception dans des contextes nationaux hétérogènes. Nous observons également la formation d’une image de la culture maorie, et des usages (économiques politiques, touristiques) qui en sont faits, à l’échelle globale et/ou locale. Associant analyse des pratiques muséales (conservation, scénographie et médiation) et réception de l’exposition, la méthodologie comprend des interviews avec les concepteurs des trois lieux, et deux études de réception auprès des publics (Paris, Musée du Quai Branly, et Québec, Musée de la Civilisation).</w:t>
      </w:r>
    </w:p>
    <w:p w:rsidR="00A00BAA" w:rsidRPr="00792DC5" w:rsidRDefault="00A00BAA" w:rsidP="00792DC5">
      <w:r w:rsidRPr="00E435E3">
        <w:rPr>
          <w:lang w:eastAsia="fr-FR"/>
        </w:rPr>
        <w:t xml:space="preserve">L’équipe rassemble, dans une perspective pluridisciplinaire, quatre chercheures principales issues des trois pays concernés : Gaëlle CRENN, en Sciences de l’information et de la communication, </w:t>
      </w:r>
      <w:r w:rsidRPr="00E435E3">
        <w:rPr>
          <w:lang w:eastAsia="fr-FR"/>
        </w:rPr>
        <w:lastRenderedPageBreak/>
        <w:t xml:space="preserve">Centre de recherche sur les médiations, Université de Lorraine,  France ; Lee DAVIDSON, spécialiste des loisirs et des musées, </w:t>
      </w:r>
      <w:proofErr w:type="spellStart"/>
      <w:r w:rsidRPr="00E435E3">
        <w:rPr>
          <w:lang w:eastAsia="fr-FR"/>
        </w:rPr>
        <w:t>Heritage</w:t>
      </w:r>
      <w:proofErr w:type="spellEnd"/>
      <w:r w:rsidRPr="00E435E3">
        <w:rPr>
          <w:lang w:eastAsia="fr-FR"/>
        </w:rPr>
        <w:t xml:space="preserve"> and Museum </w:t>
      </w:r>
      <w:proofErr w:type="spellStart"/>
      <w:r w:rsidRPr="00E435E3">
        <w:rPr>
          <w:lang w:eastAsia="fr-FR"/>
        </w:rPr>
        <w:t>Studies</w:t>
      </w:r>
      <w:proofErr w:type="spellEnd"/>
      <w:r w:rsidRPr="00E435E3">
        <w:rPr>
          <w:lang w:eastAsia="fr-FR"/>
        </w:rPr>
        <w:t xml:space="preserve"> Programme, Victoria </w:t>
      </w:r>
      <w:proofErr w:type="spellStart"/>
      <w:r w:rsidRPr="00E435E3">
        <w:rPr>
          <w:lang w:eastAsia="fr-FR"/>
        </w:rPr>
        <w:t>University</w:t>
      </w:r>
      <w:proofErr w:type="spellEnd"/>
      <w:r w:rsidRPr="00E435E3">
        <w:rPr>
          <w:lang w:eastAsia="fr-FR"/>
        </w:rPr>
        <w:t xml:space="preserve">, Wellington, Nouvelle Zélande ; Natacha GAGNE, Anthropologie, Université Laval, Québec, Canada; Mélanie </w:t>
      </w:r>
      <w:r w:rsidRPr="00792DC5">
        <w:t>ROUSTAN, Anthropologie, Muséum d’histoire naturelle, Département Muséologie, Paris. Dans chaque pays, l’université de rattachement des chercheures est impliquée, et les contacts existants avec les musées concernés ont facilité  la mise en œuvre de la recherche.</w:t>
      </w:r>
    </w:p>
    <w:p w:rsidR="007E71B3" w:rsidRPr="00792DC5" w:rsidRDefault="007E71B3" w:rsidP="00792DC5">
      <w:pPr>
        <w:rPr>
          <w:lang w:eastAsia="fr-FR"/>
        </w:rPr>
      </w:pPr>
      <w:r w:rsidRPr="00792DC5">
        <w:rPr>
          <w:lang w:eastAsia="fr-FR"/>
        </w:rPr>
        <w:t xml:space="preserve">L’ambition du projet est de combiner </w:t>
      </w:r>
      <w:r w:rsidR="00A00BAA" w:rsidRPr="00792DC5">
        <w:rPr>
          <w:lang w:eastAsia="fr-FR"/>
        </w:rPr>
        <w:t xml:space="preserve">dans  approche </w:t>
      </w:r>
      <w:r w:rsidR="00D753B9" w:rsidRPr="00792DC5">
        <w:rPr>
          <w:lang w:eastAsia="fr-FR"/>
        </w:rPr>
        <w:t>multidimensionnelle</w:t>
      </w:r>
      <w:r w:rsidR="00A00BAA" w:rsidRPr="00792DC5">
        <w:rPr>
          <w:lang w:eastAsia="fr-FR"/>
        </w:rPr>
        <w:t xml:space="preserve"> une perspective comparative et une approche globale de l’exposition e de sa circulation.</w:t>
      </w:r>
      <w:r w:rsidR="00E435E3" w:rsidRPr="00792DC5">
        <w:rPr>
          <w:lang w:eastAsia="fr-FR"/>
        </w:rPr>
        <w:t xml:space="preserve"> Ainsi</w:t>
      </w:r>
      <w:r w:rsidRPr="00792DC5">
        <w:rPr>
          <w:lang w:eastAsia="fr-FR"/>
        </w:rPr>
        <w:t xml:space="preserve"> ce projet adjoint une dimension comparative e</w:t>
      </w:r>
      <w:r w:rsidR="00A00BAA" w:rsidRPr="00792DC5">
        <w:rPr>
          <w:lang w:eastAsia="fr-FR"/>
        </w:rPr>
        <w:t xml:space="preserve">ntre trois contextes nationaux et </w:t>
      </w:r>
      <w:r w:rsidRPr="00792DC5">
        <w:rPr>
          <w:lang w:eastAsia="fr-FR"/>
        </w:rPr>
        <w:t xml:space="preserve">une approche globale de l’exposition, au sens où elle est considérée comme une </w:t>
      </w:r>
      <w:proofErr w:type="spellStart"/>
      <w:r w:rsidRPr="00792DC5">
        <w:rPr>
          <w:lang w:eastAsia="fr-FR"/>
        </w:rPr>
        <w:t>co</w:t>
      </w:r>
      <w:proofErr w:type="spellEnd"/>
      <w:r w:rsidRPr="00792DC5">
        <w:rPr>
          <w:lang w:eastAsia="fr-FR"/>
        </w:rPr>
        <w:t>-construction entre les concepteurs et les pub</w:t>
      </w:r>
      <w:r w:rsidR="00A00BAA" w:rsidRPr="00792DC5">
        <w:rPr>
          <w:lang w:eastAsia="fr-FR"/>
        </w:rPr>
        <w:t>lics récepteurs. La recherche associ</w:t>
      </w:r>
      <w:r w:rsidRPr="00792DC5">
        <w:rPr>
          <w:lang w:eastAsia="fr-FR"/>
        </w:rPr>
        <w:t>e ainsi étude de la</w:t>
      </w:r>
      <w:r w:rsidR="009A648E" w:rsidRPr="00792DC5">
        <w:rPr>
          <w:lang w:eastAsia="fr-FR"/>
        </w:rPr>
        <w:t xml:space="preserve"> conception des équipes, moment</w:t>
      </w:r>
      <w:r w:rsidRPr="00792DC5">
        <w:rPr>
          <w:lang w:eastAsia="fr-FR"/>
        </w:rPr>
        <w:t xml:space="preserve"> de réalisation et de mise en œuvre</w:t>
      </w:r>
      <w:r w:rsidR="009A648E" w:rsidRPr="00792DC5">
        <w:rPr>
          <w:lang w:eastAsia="fr-FR"/>
        </w:rPr>
        <w:t xml:space="preserve"> de l’exposition,</w:t>
      </w:r>
      <w:r w:rsidRPr="00792DC5">
        <w:rPr>
          <w:lang w:eastAsia="fr-FR"/>
        </w:rPr>
        <w:t xml:space="preserve"> et appropriation</w:t>
      </w:r>
      <w:r w:rsidR="009A648E" w:rsidRPr="00792DC5">
        <w:rPr>
          <w:lang w:eastAsia="fr-FR"/>
        </w:rPr>
        <w:t xml:space="preserve"> par les publics destinataires. L</w:t>
      </w:r>
      <w:r w:rsidRPr="00792DC5">
        <w:rPr>
          <w:lang w:eastAsia="fr-FR"/>
        </w:rPr>
        <w:t xml:space="preserve">e cadre </w:t>
      </w:r>
      <w:r w:rsidR="009A648E" w:rsidRPr="00792DC5">
        <w:rPr>
          <w:lang w:eastAsia="fr-FR"/>
        </w:rPr>
        <w:t xml:space="preserve">défini </w:t>
      </w:r>
      <w:r w:rsidRPr="00792DC5">
        <w:rPr>
          <w:lang w:eastAsia="fr-FR"/>
        </w:rPr>
        <w:t xml:space="preserve">permet plusieurs angles d’analyse, en confrontant les contextes, ou en associant les perspectives d’acteurs. C’est dans ces regards croisés impliquant ces différents aspects que les représentations </w:t>
      </w:r>
      <w:r w:rsidR="00FD4DCE" w:rsidRPr="00792DC5">
        <w:rPr>
          <w:lang w:eastAsia="fr-FR"/>
        </w:rPr>
        <w:t>des relations interculturelles</w:t>
      </w:r>
      <w:r w:rsidRPr="00792DC5">
        <w:rPr>
          <w:lang w:eastAsia="fr-FR"/>
        </w:rPr>
        <w:t xml:space="preserve">, </w:t>
      </w:r>
      <w:r w:rsidR="00FD4DCE" w:rsidRPr="00792DC5">
        <w:rPr>
          <w:lang w:eastAsia="fr-FR"/>
        </w:rPr>
        <w:t>de l’altérité, des conceptions de l’autre et de</w:t>
      </w:r>
      <w:r w:rsidR="009A648E" w:rsidRPr="00792DC5">
        <w:rPr>
          <w:lang w:eastAsia="fr-FR"/>
        </w:rPr>
        <w:t xml:space="preserve"> soi,  ainsi que du patrimoine,</w:t>
      </w:r>
      <w:r w:rsidRPr="00792DC5">
        <w:rPr>
          <w:lang w:eastAsia="fr-FR"/>
        </w:rPr>
        <w:t xml:space="preserve"> sont mises en lumières.</w:t>
      </w:r>
    </w:p>
    <w:p w:rsidR="00CF6DD2" w:rsidRDefault="00CF6DD2" w:rsidP="00792DC5">
      <w:pPr>
        <w:rPr>
          <w:rFonts w:ascii="Helvetica" w:hAnsi="Helvetica" w:cs="Helvetica"/>
          <w:color w:val="222222"/>
          <w:lang w:eastAsia="fr-FR"/>
        </w:rPr>
      </w:pPr>
    </w:p>
    <w:p w:rsidR="007E71B3" w:rsidRDefault="007E71B3" w:rsidP="00A00BAA">
      <w:pPr>
        <w:pStyle w:val="Titre2"/>
        <w:rPr>
          <w:rFonts w:eastAsia="Times New Roman"/>
          <w:lang w:eastAsia="fr-FR"/>
        </w:rPr>
      </w:pPr>
      <w:bookmarkStart w:id="3" w:name="_Toc385923186"/>
      <w:r>
        <w:rPr>
          <w:rFonts w:eastAsia="Times New Roman"/>
          <w:lang w:eastAsia="fr-FR"/>
        </w:rPr>
        <w:t xml:space="preserve">2. </w:t>
      </w:r>
      <w:r w:rsidR="0012327C">
        <w:rPr>
          <w:rFonts w:eastAsia="Times New Roman"/>
          <w:lang w:eastAsia="fr-FR"/>
        </w:rPr>
        <w:t>Démarche et t</w:t>
      </w:r>
      <w:r>
        <w:rPr>
          <w:rFonts w:eastAsia="Times New Roman"/>
          <w:lang w:eastAsia="fr-FR"/>
        </w:rPr>
        <w:t>errains</w:t>
      </w:r>
      <w:bookmarkEnd w:id="3"/>
    </w:p>
    <w:p w:rsidR="002D5221" w:rsidRDefault="00E435E3" w:rsidP="00E435E3">
      <w:pPr>
        <w:pStyle w:val="Titre3"/>
        <w:rPr>
          <w:lang w:eastAsia="fr-FR"/>
        </w:rPr>
      </w:pPr>
      <w:bookmarkStart w:id="4" w:name="_Toc385923187"/>
      <w:r>
        <w:rPr>
          <w:lang w:eastAsia="fr-FR"/>
        </w:rPr>
        <w:t xml:space="preserve">21. </w:t>
      </w:r>
      <w:r w:rsidR="00F65BA9">
        <w:rPr>
          <w:lang w:eastAsia="fr-FR"/>
        </w:rPr>
        <w:t>Calendrier des terrains</w:t>
      </w:r>
      <w:bookmarkEnd w:id="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3"/>
        <w:gridCol w:w="2303"/>
        <w:gridCol w:w="2303"/>
        <w:gridCol w:w="2303"/>
      </w:tblGrid>
      <w:tr w:rsidR="002D5221" w:rsidRPr="002D5221" w:rsidTr="00F65BA9">
        <w:tc>
          <w:tcPr>
            <w:tcW w:w="2303" w:type="dxa"/>
            <w:shd w:val="clear" w:color="auto" w:fill="EAF1DD" w:themeFill="accent3" w:themeFillTint="33"/>
          </w:tcPr>
          <w:p w:rsidR="002D5221" w:rsidRPr="002D5221" w:rsidRDefault="002D5221" w:rsidP="00792DC5">
            <w:pPr>
              <w:rPr>
                <w:lang w:eastAsia="fr-FR"/>
              </w:rPr>
            </w:pPr>
            <w:r w:rsidRPr="002D5221">
              <w:rPr>
                <w:lang w:eastAsia="fr-FR"/>
              </w:rPr>
              <w:t>DATE</w:t>
            </w:r>
          </w:p>
        </w:tc>
        <w:tc>
          <w:tcPr>
            <w:tcW w:w="2303" w:type="dxa"/>
            <w:shd w:val="clear" w:color="auto" w:fill="EAF1DD" w:themeFill="accent3" w:themeFillTint="33"/>
          </w:tcPr>
          <w:p w:rsidR="002D5221" w:rsidRPr="002D5221" w:rsidRDefault="00F65BA9" w:rsidP="00792DC5">
            <w:pPr>
              <w:rPr>
                <w:lang w:eastAsia="fr-FR"/>
              </w:rPr>
            </w:pPr>
            <w:r>
              <w:rPr>
                <w:lang w:eastAsia="fr-FR"/>
              </w:rPr>
              <w:t>LIEU/OBJET</w:t>
            </w:r>
          </w:p>
        </w:tc>
        <w:tc>
          <w:tcPr>
            <w:tcW w:w="2303" w:type="dxa"/>
            <w:shd w:val="clear" w:color="auto" w:fill="EAF1DD" w:themeFill="accent3" w:themeFillTint="33"/>
          </w:tcPr>
          <w:p w:rsidR="002D5221" w:rsidRPr="002D5221" w:rsidRDefault="002D5221" w:rsidP="00792DC5">
            <w:pPr>
              <w:rPr>
                <w:lang w:eastAsia="fr-FR"/>
              </w:rPr>
            </w:pPr>
            <w:r w:rsidRPr="002D5221">
              <w:rPr>
                <w:lang w:eastAsia="fr-FR"/>
              </w:rPr>
              <w:t>TACHE</w:t>
            </w:r>
          </w:p>
        </w:tc>
        <w:tc>
          <w:tcPr>
            <w:tcW w:w="2303" w:type="dxa"/>
            <w:shd w:val="clear" w:color="auto" w:fill="EAF1DD" w:themeFill="accent3" w:themeFillTint="33"/>
          </w:tcPr>
          <w:p w:rsidR="002D5221" w:rsidRPr="002D5221" w:rsidRDefault="002D5221" w:rsidP="00792DC5">
            <w:pPr>
              <w:rPr>
                <w:lang w:eastAsia="fr-FR"/>
              </w:rPr>
            </w:pPr>
            <w:r w:rsidRPr="002D5221">
              <w:rPr>
                <w:lang w:eastAsia="fr-FR"/>
              </w:rPr>
              <w:t>PERSONNES</w:t>
            </w:r>
          </w:p>
        </w:tc>
      </w:tr>
      <w:tr w:rsidR="00F65BA9" w:rsidRPr="002D5221" w:rsidTr="00F65BA9">
        <w:tc>
          <w:tcPr>
            <w:tcW w:w="2303" w:type="dxa"/>
            <w:shd w:val="clear" w:color="auto" w:fill="DBE5F1" w:themeFill="accent1" w:themeFillTint="33"/>
          </w:tcPr>
          <w:p w:rsidR="00F65BA9" w:rsidRPr="00F65BA9" w:rsidRDefault="00F65BA9" w:rsidP="00792DC5">
            <w:pPr>
              <w:rPr>
                <w:lang w:eastAsia="fr-FR"/>
              </w:rPr>
            </w:pPr>
            <w:r w:rsidRPr="00F65BA9">
              <w:rPr>
                <w:lang w:eastAsia="fr-FR"/>
              </w:rPr>
              <w:t>2011</w:t>
            </w:r>
          </w:p>
        </w:tc>
        <w:tc>
          <w:tcPr>
            <w:tcW w:w="2303" w:type="dxa"/>
            <w:shd w:val="clear" w:color="auto" w:fill="DBE5F1" w:themeFill="accent1" w:themeFillTint="33"/>
          </w:tcPr>
          <w:p w:rsidR="00F65BA9" w:rsidRDefault="00F65BA9" w:rsidP="00792DC5">
            <w:pPr>
              <w:rPr>
                <w:lang w:eastAsia="fr-FR"/>
              </w:rPr>
            </w:pPr>
            <w:r w:rsidRPr="00F65BA9">
              <w:rPr>
                <w:lang w:eastAsia="fr-FR"/>
              </w:rPr>
              <w:t>WELLINGTON</w:t>
            </w:r>
          </w:p>
        </w:tc>
        <w:tc>
          <w:tcPr>
            <w:tcW w:w="2303" w:type="dxa"/>
            <w:shd w:val="clear" w:color="auto" w:fill="DBE5F1" w:themeFill="accent1" w:themeFillTint="33"/>
          </w:tcPr>
          <w:p w:rsidR="00F65BA9" w:rsidRPr="002D5221" w:rsidRDefault="00F65BA9" w:rsidP="00792DC5">
            <w:pPr>
              <w:rPr>
                <w:lang w:eastAsia="fr-FR"/>
              </w:rPr>
            </w:pPr>
          </w:p>
        </w:tc>
        <w:tc>
          <w:tcPr>
            <w:tcW w:w="2303" w:type="dxa"/>
            <w:shd w:val="clear" w:color="auto" w:fill="DBE5F1" w:themeFill="accent1" w:themeFillTint="33"/>
          </w:tcPr>
          <w:p w:rsidR="00F65BA9" w:rsidRPr="002D5221" w:rsidRDefault="00F65BA9" w:rsidP="00792DC5">
            <w:pPr>
              <w:rPr>
                <w:lang w:eastAsia="fr-FR"/>
              </w:rPr>
            </w:pPr>
          </w:p>
        </w:tc>
      </w:tr>
      <w:tr w:rsidR="00F65BA9" w:rsidRPr="002D5221" w:rsidTr="00E435E3">
        <w:tc>
          <w:tcPr>
            <w:tcW w:w="2303" w:type="dxa"/>
            <w:shd w:val="clear" w:color="auto" w:fill="auto"/>
          </w:tcPr>
          <w:p w:rsidR="00F65BA9" w:rsidRDefault="00F65BA9" w:rsidP="00792DC5">
            <w:pPr>
              <w:rPr>
                <w:lang w:eastAsia="fr-FR"/>
              </w:rPr>
            </w:pPr>
            <w:r w:rsidRPr="00252B92">
              <w:rPr>
                <w:lang w:eastAsia="fr-FR"/>
              </w:rPr>
              <w:t xml:space="preserve">9 avril – 26 juin 2011 </w:t>
            </w:r>
          </w:p>
          <w:p w:rsidR="00F65BA9" w:rsidRPr="002D5221" w:rsidRDefault="00F65BA9" w:rsidP="00792DC5">
            <w:pPr>
              <w:rPr>
                <w:lang w:eastAsia="fr-FR"/>
              </w:rPr>
            </w:pPr>
          </w:p>
        </w:tc>
        <w:tc>
          <w:tcPr>
            <w:tcW w:w="2303" w:type="dxa"/>
            <w:shd w:val="clear" w:color="auto" w:fill="auto"/>
          </w:tcPr>
          <w:p w:rsidR="00F65BA9" w:rsidRPr="002D5221" w:rsidRDefault="00F65BA9" w:rsidP="00792DC5">
            <w:pPr>
              <w:rPr>
                <w:lang w:eastAsia="fr-FR"/>
              </w:rPr>
            </w:pPr>
            <w:r w:rsidRPr="00252B92">
              <w:rPr>
                <w:lang w:eastAsia="fr-FR"/>
              </w:rPr>
              <w:t xml:space="preserve">E tu </w:t>
            </w:r>
            <w:proofErr w:type="spellStart"/>
            <w:r w:rsidRPr="00252B92">
              <w:rPr>
                <w:lang w:eastAsia="fr-FR"/>
              </w:rPr>
              <w:t>aKe</w:t>
            </w:r>
            <w:proofErr w:type="spellEnd"/>
            <w:r w:rsidRPr="00252B92">
              <w:rPr>
                <w:lang w:eastAsia="fr-FR"/>
              </w:rPr>
              <w:t xml:space="preserve">, Musée Te Papa </w:t>
            </w:r>
            <w:proofErr w:type="spellStart"/>
            <w:r w:rsidRPr="00252B92">
              <w:rPr>
                <w:lang w:eastAsia="fr-FR"/>
              </w:rPr>
              <w:t>Tongarewa</w:t>
            </w:r>
            <w:proofErr w:type="spellEnd"/>
            <w:r w:rsidRPr="00252B92">
              <w:rPr>
                <w:lang w:eastAsia="fr-FR"/>
              </w:rPr>
              <w:t>, Wellington, NZ</w:t>
            </w:r>
            <w:r>
              <w:rPr>
                <w:lang w:eastAsia="fr-FR"/>
              </w:rPr>
              <w:t xml:space="preserve"> </w:t>
            </w:r>
          </w:p>
        </w:tc>
        <w:tc>
          <w:tcPr>
            <w:tcW w:w="2303" w:type="dxa"/>
            <w:shd w:val="clear" w:color="auto" w:fill="auto"/>
          </w:tcPr>
          <w:p w:rsidR="00F65BA9" w:rsidRPr="002D5221" w:rsidRDefault="00F65BA9" w:rsidP="00792DC5">
            <w:pPr>
              <w:rPr>
                <w:lang w:eastAsia="fr-FR"/>
              </w:rPr>
            </w:pPr>
            <w:r>
              <w:rPr>
                <w:lang w:eastAsia="fr-FR"/>
              </w:rPr>
              <w:t>Visite</w:t>
            </w:r>
            <w:r w:rsidR="00792DC5">
              <w:rPr>
                <w:lang w:eastAsia="fr-FR"/>
              </w:rPr>
              <w:t>s</w:t>
            </w:r>
          </w:p>
        </w:tc>
        <w:tc>
          <w:tcPr>
            <w:tcW w:w="2303" w:type="dxa"/>
            <w:shd w:val="clear" w:color="auto" w:fill="auto"/>
          </w:tcPr>
          <w:p w:rsidR="00F65BA9" w:rsidRPr="002D5221" w:rsidRDefault="00F65BA9" w:rsidP="00792DC5">
            <w:pPr>
              <w:rPr>
                <w:lang w:eastAsia="fr-FR"/>
              </w:rPr>
            </w:pPr>
            <w:r>
              <w:rPr>
                <w:lang w:eastAsia="fr-FR"/>
              </w:rPr>
              <w:t xml:space="preserve">Gaëlle </w:t>
            </w:r>
            <w:proofErr w:type="spellStart"/>
            <w:r>
              <w:rPr>
                <w:lang w:eastAsia="fr-FR"/>
              </w:rPr>
              <w:t>Crenn</w:t>
            </w:r>
            <w:proofErr w:type="spellEnd"/>
          </w:p>
        </w:tc>
      </w:tr>
      <w:tr w:rsidR="00F65BA9" w:rsidRPr="002D5221" w:rsidTr="002D5221">
        <w:tc>
          <w:tcPr>
            <w:tcW w:w="2303" w:type="dxa"/>
            <w:shd w:val="clear" w:color="auto" w:fill="auto"/>
          </w:tcPr>
          <w:p w:rsidR="00F65BA9" w:rsidRPr="00252B92" w:rsidRDefault="00F65BA9" w:rsidP="00792DC5">
            <w:pPr>
              <w:rPr>
                <w:lang w:eastAsia="fr-FR"/>
              </w:rPr>
            </w:pPr>
            <w:r>
              <w:rPr>
                <w:lang w:eastAsia="fr-FR"/>
              </w:rPr>
              <w:t>2011-2013</w:t>
            </w:r>
          </w:p>
        </w:tc>
        <w:tc>
          <w:tcPr>
            <w:tcW w:w="2303" w:type="dxa"/>
            <w:shd w:val="clear" w:color="auto" w:fill="auto"/>
          </w:tcPr>
          <w:p w:rsidR="00F65BA9" w:rsidRPr="00252B92" w:rsidRDefault="00F65BA9" w:rsidP="00792DC5">
            <w:pPr>
              <w:rPr>
                <w:lang w:eastAsia="fr-FR"/>
              </w:rPr>
            </w:pPr>
          </w:p>
        </w:tc>
        <w:tc>
          <w:tcPr>
            <w:tcW w:w="2303" w:type="dxa"/>
            <w:shd w:val="clear" w:color="auto" w:fill="auto"/>
          </w:tcPr>
          <w:p w:rsidR="00F65BA9" w:rsidRPr="002D5221" w:rsidRDefault="00F65BA9" w:rsidP="00792DC5">
            <w:pPr>
              <w:rPr>
                <w:lang w:eastAsia="fr-FR"/>
              </w:rPr>
            </w:pPr>
            <w:r>
              <w:rPr>
                <w:lang w:eastAsia="fr-FR"/>
              </w:rPr>
              <w:t>Entretiens Professionnels</w:t>
            </w:r>
          </w:p>
        </w:tc>
        <w:tc>
          <w:tcPr>
            <w:tcW w:w="2303" w:type="dxa"/>
            <w:shd w:val="clear" w:color="auto" w:fill="auto"/>
          </w:tcPr>
          <w:p w:rsidR="00F65BA9" w:rsidRPr="002D5221" w:rsidRDefault="00F65BA9" w:rsidP="00792DC5">
            <w:pPr>
              <w:rPr>
                <w:lang w:eastAsia="fr-FR"/>
              </w:rPr>
            </w:pPr>
            <w:r>
              <w:rPr>
                <w:lang w:eastAsia="fr-FR"/>
              </w:rPr>
              <w:t>Lee Davidson</w:t>
            </w:r>
          </w:p>
        </w:tc>
      </w:tr>
      <w:tr w:rsidR="00F65BA9" w:rsidRPr="002D5221" w:rsidTr="00F65BA9">
        <w:tc>
          <w:tcPr>
            <w:tcW w:w="2303" w:type="dxa"/>
            <w:shd w:val="clear" w:color="auto" w:fill="DBE5F1" w:themeFill="accent1" w:themeFillTint="33"/>
          </w:tcPr>
          <w:p w:rsidR="00F65BA9" w:rsidRPr="00252B92" w:rsidRDefault="00F65BA9" w:rsidP="00792DC5">
            <w:pPr>
              <w:rPr>
                <w:lang w:eastAsia="fr-FR"/>
              </w:rPr>
            </w:pPr>
            <w:r>
              <w:rPr>
                <w:lang w:eastAsia="fr-FR"/>
              </w:rPr>
              <w:t>2011-2012</w:t>
            </w:r>
          </w:p>
        </w:tc>
        <w:tc>
          <w:tcPr>
            <w:tcW w:w="2303" w:type="dxa"/>
            <w:shd w:val="clear" w:color="auto" w:fill="DBE5F1" w:themeFill="accent1" w:themeFillTint="33"/>
          </w:tcPr>
          <w:p w:rsidR="00F65BA9" w:rsidRPr="00252B92" w:rsidRDefault="00F65BA9" w:rsidP="00792DC5">
            <w:pPr>
              <w:rPr>
                <w:lang w:eastAsia="fr-FR"/>
              </w:rPr>
            </w:pPr>
            <w:r>
              <w:rPr>
                <w:lang w:eastAsia="fr-FR"/>
              </w:rPr>
              <w:t>PARIS</w:t>
            </w:r>
          </w:p>
        </w:tc>
        <w:tc>
          <w:tcPr>
            <w:tcW w:w="2303" w:type="dxa"/>
            <w:shd w:val="clear" w:color="auto" w:fill="DBE5F1" w:themeFill="accent1" w:themeFillTint="33"/>
          </w:tcPr>
          <w:p w:rsidR="00F65BA9" w:rsidRPr="002D5221" w:rsidRDefault="00F65BA9" w:rsidP="00792DC5">
            <w:pPr>
              <w:rPr>
                <w:lang w:eastAsia="fr-FR"/>
              </w:rPr>
            </w:pPr>
          </w:p>
        </w:tc>
        <w:tc>
          <w:tcPr>
            <w:tcW w:w="2303" w:type="dxa"/>
            <w:shd w:val="clear" w:color="auto" w:fill="DBE5F1" w:themeFill="accent1" w:themeFillTint="33"/>
          </w:tcPr>
          <w:p w:rsidR="00F65BA9" w:rsidRPr="002D5221" w:rsidRDefault="00F65BA9" w:rsidP="00792DC5">
            <w:pPr>
              <w:rPr>
                <w:lang w:eastAsia="fr-FR"/>
              </w:rPr>
            </w:pPr>
          </w:p>
        </w:tc>
      </w:tr>
      <w:tr w:rsidR="0012327C" w:rsidRPr="002D5221" w:rsidTr="002D5221">
        <w:tc>
          <w:tcPr>
            <w:tcW w:w="2303" w:type="dxa"/>
            <w:shd w:val="clear" w:color="auto" w:fill="auto"/>
          </w:tcPr>
          <w:p w:rsidR="0012327C" w:rsidRPr="002D5221" w:rsidRDefault="00F65BA9" w:rsidP="00792DC5">
            <w:pPr>
              <w:rPr>
                <w:lang w:eastAsia="fr-FR"/>
              </w:rPr>
            </w:pPr>
            <w:r w:rsidRPr="00252B92">
              <w:rPr>
                <w:lang w:eastAsia="fr-FR"/>
              </w:rPr>
              <w:t>4 octobre 2011-22 janvier 2012.</w:t>
            </w:r>
          </w:p>
        </w:tc>
        <w:tc>
          <w:tcPr>
            <w:tcW w:w="2303" w:type="dxa"/>
            <w:shd w:val="clear" w:color="auto" w:fill="auto"/>
          </w:tcPr>
          <w:p w:rsidR="0012327C" w:rsidRPr="002D5221" w:rsidRDefault="0012327C" w:rsidP="00792DC5">
            <w:pPr>
              <w:rPr>
                <w:lang w:eastAsia="fr-FR"/>
              </w:rPr>
            </w:pPr>
            <w:proofErr w:type="spellStart"/>
            <w:r w:rsidRPr="00252B92">
              <w:rPr>
                <w:lang w:eastAsia="fr-FR"/>
              </w:rPr>
              <w:t>Māori</w:t>
            </w:r>
            <w:proofErr w:type="spellEnd"/>
            <w:r w:rsidRPr="00252B92">
              <w:rPr>
                <w:lang w:eastAsia="fr-FR"/>
              </w:rPr>
              <w:t xml:space="preserve">, leurs trésors ont une </w:t>
            </w:r>
            <w:proofErr w:type="gramStart"/>
            <w:r w:rsidRPr="00252B92">
              <w:rPr>
                <w:lang w:eastAsia="fr-FR"/>
              </w:rPr>
              <w:t>âme ,</w:t>
            </w:r>
            <w:proofErr w:type="gramEnd"/>
            <w:r w:rsidRPr="00252B92">
              <w:rPr>
                <w:lang w:eastAsia="fr-FR"/>
              </w:rPr>
              <w:t xml:space="preserve"> MQB, Paris</w:t>
            </w:r>
          </w:p>
        </w:tc>
        <w:tc>
          <w:tcPr>
            <w:tcW w:w="2303" w:type="dxa"/>
            <w:shd w:val="clear" w:color="auto" w:fill="auto"/>
          </w:tcPr>
          <w:p w:rsidR="0012327C" w:rsidRDefault="0012327C" w:rsidP="00792DC5">
            <w:pPr>
              <w:rPr>
                <w:lang w:eastAsia="fr-FR"/>
              </w:rPr>
            </w:pPr>
            <w:r>
              <w:rPr>
                <w:lang w:eastAsia="fr-FR"/>
              </w:rPr>
              <w:t>Visites</w:t>
            </w:r>
          </w:p>
          <w:p w:rsidR="0012327C" w:rsidRDefault="00F65BA9" w:rsidP="00792DC5">
            <w:pPr>
              <w:rPr>
                <w:lang w:eastAsia="fr-FR"/>
              </w:rPr>
            </w:pPr>
            <w:r>
              <w:rPr>
                <w:lang w:eastAsia="fr-FR"/>
              </w:rPr>
              <w:t>E</w:t>
            </w:r>
            <w:r w:rsidR="0012327C">
              <w:rPr>
                <w:lang w:eastAsia="fr-FR"/>
              </w:rPr>
              <w:t>n</w:t>
            </w:r>
            <w:r>
              <w:rPr>
                <w:lang w:eastAsia="fr-FR"/>
              </w:rPr>
              <w:t>t</w:t>
            </w:r>
            <w:r w:rsidR="0012327C">
              <w:rPr>
                <w:lang w:eastAsia="fr-FR"/>
              </w:rPr>
              <w:t>retiens visiteurs</w:t>
            </w:r>
          </w:p>
          <w:p w:rsidR="0012327C" w:rsidRPr="002D5221" w:rsidRDefault="0012327C" w:rsidP="00792DC5">
            <w:pPr>
              <w:rPr>
                <w:lang w:eastAsia="fr-FR"/>
              </w:rPr>
            </w:pPr>
            <w:r>
              <w:rPr>
                <w:lang w:eastAsia="fr-FR"/>
              </w:rPr>
              <w:t>Entretiens professionnels</w:t>
            </w:r>
          </w:p>
        </w:tc>
        <w:tc>
          <w:tcPr>
            <w:tcW w:w="2303" w:type="dxa"/>
            <w:shd w:val="clear" w:color="auto" w:fill="auto"/>
          </w:tcPr>
          <w:p w:rsidR="0012327C" w:rsidRDefault="00F65BA9" w:rsidP="00792DC5">
            <w:pPr>
              <w:rPr>
                <w:lang w:eastAsia="fr-FR"/>
              </w:rPr>
            </w:pPr>
            <w:r>
              <w:rPr>
                <w:lang w:eastAsia="fr-FR"/>
              </w:rPr>
              <w:t xml:space="preserve">Gaëlle </w:t>
            </w:r>
            <w:proofErr w:type="spellStart"/>
            <w:r>
              <w:rPr>
                <w:lang w:eastAsia="fr-FR"/>
              </w:rPr>
              <w:t>Crenn</w:t>
            </w:r>
            <w:proofErr w:type="spellEnd"/>
          </w:p>
          <w:p w:rsidR="00F65BA9" w:rsidRDefault="00F65BA9" w:rsidP="00792DC5">
            <w:pPr>
              <w:rPr>
                <w:lang w:eastAsia="fr-FR"/>
              </w:rPr>
            </w:pPr>
            <w:r>
              <w:rPr>
                <w:lang w:eastAsia="fr-FR"/>
              </w:rPr>
              <w:t>Mélanie Roustan</w:t>
            </w:r>
          </w:p>
          <w:p w:rsidR="00F65BA9" w:rsidRDefault="00F65BA9" w:rsidP="00792DC5">
            <w:pPr>
              <w:rPr>
                <w:lang w:eastAsia="fr-FR"/>
              </w:rPr>
            </w:pPr>
            <w:r>
              <w:rPr>
                <w:lang w:eastAsia="fr-FR"/>
              </w:rPr>
              <w:t>Natacha Gagné</w:t>
            </w:r>
          </w:p>
          <w:p w:rsidR="00F65BA9" w:rsidRPr="002D5221" w:rsidRDefault="00F65BA9" w:rsidP="00792DC5">
            <w:pPr>
              <w:rPr>
                <w:lang w:eastAsia="fr-FR"/>
              </w:rPr>
            </w:pPr>
            <w:r>
              <w:rPr>
                <w:lang w:eastAsia="fr-FR"/>
              </w:rPr>
              <w:t>Lee Davidson</w:t>
            </w:r>
          </w:p>
        </w:tc>
      </w:tr>
      <w:tr w:rsidR="0012327C" w:rsidRPr="002D5221" w:rsidTr="002D5221">
        <w:tc>
          <w:tcPr>
            <w:tcW w:w="2303" w:type="dxa"/>
            <w:shd w:val="clear" w:color="auto" w:fill="auto"/>
          </w:tcPr>
          <w:p w:rsidR="0012327C" w:rsidRPr="002D5221" w:rsidRDefault="00F65BA9" w:rsidP="00792DC5">
            <w:pPr>
              <w:rPr>
                <w:lang w:eastAsia="fr-FR"/>
              </w:rPr>
            </w:pPr>
            <w:r>
              <w:rPr>
                <w:lang w:eastAsia="fr-FR"/>
              </w:rPr>
              <w:t>25-30 octobre</w:t>
            </w:r>
            <w:r w:rsidRPr="0012327C">
              <w:rPr>
                <w:lang w:eastAsia="fr-FR"/>
              </w:rPr>
              <w:t xml:space="preserve"> 2011 </w:t>
            </w:r>
          </w:p>
        </w:tc>
        <w:tc>
          <w:tcPr>
            <w:tcW w:w="2303" w:type="dxa"/>
            <w:shd w:val="clear" w:color="auto" w:fill="auto"/>
          </w:tcPr>
          <w:p w:rsidR="0012327C" w:rsidRPr="002D5221" w:rsidRDefault="0012327C" w:rsidP="00792DC5">
            <w:pPr>
              <w:rPr>
                <w:lang w:eastAsia="fr-FR"/>
              </w:rPr>
            </w:pPr>
            <w:r>
              <w:rPr>
                <w:lang w:eastAsia="fr-FR"/>
              </w:rPr>
              <w:t>Semaine Maori programme Toussai</w:t>
            </w:r>
            <w:r w:rsidRPr="0012327C">
              <w:rPr>
                <w:lang w:eastAsia="fr-FR"/>
              </w:rPr>
              <w:t xml:space="preserve">nt </w:t>
            </w:r>
            <w:r w:rsidR="00F65BA9">
              <w:rPr>
                <w:lang w:eastAsia="fr-FR"/>
              </w:rPr>
              <w:t>2012</w:t>
            </w:r>
          </w:p>
        </w:tc>
        <w:tc>
          <w:tcPr>
            <w:tcW w:w="2303" w:type="dxa"/>
            <w:shd w:val="clear" w:color="auto" w:fill="auto"/>
          </w:tcPr>
          <w:p w:rsidR="0012327C" w:rsidRPr="002D5221" w:rsidRDefault="0012327C" w:rsidP="00792DC5">
            <w:pPr>
              <w:rPr>
                <w:lang w:eastAsia="fr-FR"/>
              </w:rPr>
            </w:pPr>
            <w:r>
              <w:rPr>
                <w:lang w:eastAsia="fr-FR"/>
              </w:rPr>
              <w:t>Observations</w:t>
            </w:r>
          </w:p>
        </w:tc>
        <w:tc>
          <w:tcPr>
            <w:tcW w:w="2303" w:type="dxa"/>
            <w:shd w:val="clear" w:color="auto" w:fill="auto"/>
          </w:tcPr>
          <w:p w:rsidR="0012327C" w:rsidRPr="002D5221" w:rsidRDefault="00F65BA9" w:rsidP="00792DC5">
            <w:pPr>
              <w:rPr>
                <w:lang w:eastAsia="fr-FR"/>
              </w:rPr>
            </w:pPr>
            <w:r>
              <w:rPr>
                <w:lang w:eastAsia="fr-FR"/>
              </w:rPr>
              <w:t xml:space="preserve">Gaëlle </w:t>
            </w:r>
            <w:proofErr w:type="spellStart"/>
            <w:r>
              <w:rPr>
                <w:lang w:eastAsia="fr-FR"/>
              </w:rPr>
              <w:t>Crenn</w:t>
            </w:r>
            <w:proofErr w:type="spellEnd"/>
          </w:p>
        </w:tc>
      </w:tr>
      <w:tr w:rsidR="0012327C" w:rsidRPr="002D5221" w:rsidTr="002D5221">
        <w:tc>
          <w:tcPr>
            <w:tcW w:w="2303" w:type="dxa"/>
            <w:shd w:val="clear" w:color="auto" w:fill="auto"/>
          </w:tcPr>
          <w:p w:rsidR="0012327C" w:rsidRPr="002D5221" w:rsidRDefault="00F65BA9" w:rsidP="00792DC5">
            <w:pPr>
              <w:rPr>
                <w:lang w:eastAsia="fr-FR"/>
              </w:rPr>
            </w:pPr>
            <w:r>
              <w:rPr>
                <w:lang w:eastAsia="fr-FR"/>
              </w:rPr>
              <w:t>23 janvier 2012 </w:t>
            </w:r>
          </w:p>
        </w:tc>
        <w:tc>
          <w:tcPr>
            <w:tcW w:w="2303" w:type="dxa"/>
            <w:shd w:val="clear" w:color="auto" w:fill="auto"/>
          </w:tcPr>
          <w:p w:rsidR="0012327C" w:rsidRPr="002D5221" w:rsidRDefault="0012327C" w:rsidP="00792DC5">
            <w:pPr>
              <w:rPr>
                <w:lang w:eastAsia="fr-FR"/>
              </w:rPr>
            </w:pPr>
            <w:r w:rsidRPr="000A7248">
              <w:rPr>
                <w:lang w:eastAsia="fr-FR"/>
              </w:rPr>
              <w:t xml:space="preserve">Cérémonie de </w:t>
            </w:r>
            <w:r w:rsidRPr="000A7248">
              <w:rPr>
                <w:lang w:eastAsia="fr-FR"/>
              </w:rPr>
              <w:lastRenderedPageBreak/>
              <w:t>restitution des têtes Maorie / Clôture de l’exposition</w:t>
            </w:r>
          </w:p>
        </w:tc>
        <w:tc>
          <w:tcPr>
            <w:tcW w:w="2303" w:type="dxa"/>
            <w:shd w:val="clear" w:color="auto" w:fill="auto"/>
          </w:tcPr>
          <w:p w:rsidR="0012327C" w:rsidRPr="002D5221" w:rsidRDefault="0012327C" w:rsidP="00792DC5">
            <w:pPr>
              <w:rPr>
                <w:lang w:eastAsia="fr-FR"/>
              </w:rPr>
            </w:pPr>
            <w:r>
              <w:rPr>
                <w:lang w:eastAsia="fr-FR"/>
              </w:rPr>
              <w:lastRenderedPageBreak/>
              <w:t>Observations</w:t>
            </w:r>
          </w:p>
        </w:tc>
        <w:tc>
          <w:tcPr>
            <w:tcW w:w="2303" w:type="dxa"/>
            <w:shd w:val="clear" w:color="auto" w:fill="auto"/>
          </w:tcPr>
          <w:p w:rsidR="00F65BA9" w:rsidRDefault="00F65BA9" w:rsidP="00792DC5">
            <w:pPr>
              <w:rPr>
                <w:lang w:eastAsia="fr-FR"/>
              </w:rPr>
            </w:pPr>
            <w:r>
              <w:rPr>
                <w:lang w:eastAsia="fr-FR"/>
              </w:rPr>
              <w:t xml:space="preserve">Gaëlle </w:t>
            </w:r>
            <w:proofErr w:type="spellStart"/>
            <w:r>
              <w:rPr>
                <w:lang w:eastAsia="fr-FR"/>
              </w:rPr>
              <w:t>Crenn</w:t>
            </w:r>
            <w:proofErr w:type="spellEnd"/>
          </w:p>
          <w:p w:rsidR="00F65BA9" w:rsidRDefault="00F65BA9" w:rsidP="00792DC5">
            <w:pPr>
              <w:rPr>
                <w:lang w:eastAsia="fr-FR"/>
              </w:rPr>
            </w:pPr>
            <w:r>
              <w:rPr>
                <w:lang w:eastAsia="fr-FR"/>
              </w:rPr>
              <w:lastRenderedPageBreak/>
              <w:t>Mélanie Roustan</w:t>
            </w:r>
          </w:p>
          <w:p w:rsidR="00F65BA9" w:rsidRDefault="00F65BA9" w:rsidP="00792DC5">
            <w:pPr>
              <w:rPr>
                <w:lang w:eastAsia="fr-FR"/>
              </w:rPr>
            </w:pPr>
            <w:r>
              <w:rPr>
                <w:lang w:eastAsia="fr-FR"/>
              </w:rPr>
              <w:t>Natacha Gagné</w:t>
            </w:r>
          </w:p>
          <w:p w:rsidR="0012327C" w:rsidRPr="002D5221" w:rsidRDefault="00F65BA9" w:rsidP="00792DC5">
            <w:pPr>
              <w:rPr>
                <w:lang w:eastAsia="fr-FR"/>
              </w:rPr>
            </w:pPr>
            <w:r>
              <w:rPr>
                <w:lang w:eastAsia="fr-FR"/>
              </w:rPr>
              <w:t>Lee Davidson</w:t>
            </w:r>
          </w:p>
        </w:tc>
      </w:tr>
      <w:tr w:rsidR="002D5221" w:rsidRPr="002D5221" w:rsidTr="00F65BA9">
        <w:tc>
          <w:tcPr>
            <w:tcW w:w="2303" w:type="dxa"/>
            <w:shd w:val="clear" w:color="auto" w:fill="DBE5F1" w:themeFill="accent1" w:themeFillTint="33"/>
          </w:tcPr>
          <w:p w:rsidR="00F65BA9" w:rsidRPr="002D5221" w:rsidRDefault="00F65BA9" w:rsidP="00792DC5">
            <w:pPr>
              <w:rPr>
                <w:lang w:eastAsia="fr-FR"/>
              </w:rPr>
            </w:pPr>
            <w:r>
              <w:rPr>
                <w:lang w:eastAsia="fr-FR"/>
              </w:rPr>
              <w:lastRenderedPageBreak/>
              <w:t>2012-2013</w:t>
            </w:r>
          </w:p>
        </w:tc>
        <w:tc>
          <w:tcPr>
            <w:tcW w:w="2303" w:type="dxa"/>
            <w:shd w:val="clear" w:color="auto" w:fill="DBE5F1" w:themeFill="accent1" w:themeFillTint="33"/>
          </w:tcPr>
          <w:p w:rsidR="002D5221" w:rsidRPr="002D5221" w:rsidRDefault="0012327C" w:rsidP="00792DC5">
            <w:pPr>
              <w:rPr>
                <w:lang w:eastAsia="fr-FR"/>
              </w:rPr>
            </w:pPr>
            <w:r>
              <w:rPr>
                <w:lang w:eastAsia="fr-FR"/>
              </w:rPr>
              <w:t>QUEBEC</w:t>
            </w:r>
          </w:p>
        </w:tc>
        <w:tc>
          <w:tcPr>
            <w:tcW w:w="2303" w:type="dxa"/>
            <w:shd w:val="clear" w:color="auto" w:fill="DBE5F1" w:themeFill="accent1" w:themeFillTint="33"/>
          </w:tcPr>
          <w:p w:rsidR="002D5221" w:rsidRPr="002D5221" w:rsidRDefault="002D5221" w:rsidP="00792DC5">
            <w:pPr>
              <w:rPr>
                <w:lang w:eastAsia="fr-FR"/>
              </w:rPr>
            </w:pPr>
          </w:p>
        </w:tc>
        <w:tc>
          <w:tcPr>
            <w:tcW w:w="2303" w:type="dxa"/>
            <w:shd w:val="clear" w:color="auto" w:fill="DBE5F1" w:themeFill="accent1" w:themeFillTint="33"/>
          </w:tcPr>
          <w:p w:rsidR="002D5221" w:rsidRPr="002D5221" w:rsidRDefault="002D5221" w:rsidP="00792DC5">
            <w:pPr>
              <w:rPr>
                <w:lang w:eastAsia="fr-FR"/>
              </w:rPr>
            </w:pPr>
          </w:p>
        </w:tc>
      </w:tr>
      <w:tr w:rsidR="002D5221" w:rsidRPr="002D5221" w:rsidTr="002D5221">
        <w:tc>
          <w:tcPr>
            <w:tcW w:w="2303" w:type="dxa"/>
            <w:shd w:val="clear" w:color="auto" w:fill="auto"/>
          </w:tcPr>
          <w:p w:rsidR="002D5221" w:rsidRPr="002D5221" w:rsidRDefault="002D5221" w:rsidP="00792DC5">
            <w:pPr>
              <w:rPr>
                <w:lang w:eastAsia="fr-FR"/>
              </w:rPr>
            </w:pPr>
            <w:r w:rsidRPr="002D5221">
              <w:rPr>
                <w:lang w:eastAsia="fr-FR"/>
              </w:rPr>
              <w:t>21 Novembre 2012</w:t>
            </w:r>
          </w:p>
        </w:tc>
        <w:tc>
          <w:tcPr>
            <w:tcW w:w="2303" w:type="dxa"/>
            <w:shd w:val="clear" w:color="auto" w:fill="auto"/>
          </w:tcPr>
          <w:p w:rsidR="002D5221" w:rsidRPr="002D5221" w:rsidRDefault="002D5221" w:rsidP="00792DC5">
            <w:pPr>
              <w:rPr>
                <w:lang w:eastAsia="fr-FR"/>
              </w:rPr>
            </w:pPr>
            <w:r w:rsidRPr="002D5221">
              <w:rPr>
                <w:lang w:eastAsia="fr-FR"/>
              </w:rPr>
              <w:t>Québec- Musée de la Civilisation</w:t>
            </w:r>
          </w:p>
          <w:p w:rsidR="00F65BA9" w:rsidRDefault="00F65BA9" w:rsidP="00792DC5">
            <w:pPr>
              <w:rPr>
                <w:lang w:eastAsia="fr-FR"/>
              </w:rPr>
            </w:pPr>
            <w:r w:rsidRPr="002D5221">
              <w:rPr>
                <w:lang w:eastAsia="fr-FR"/>
              </w:rPr>
              <w:t xml:space="preserve">cérémonies d’ouverture </w:t>
            </w:r>
          </w:p>
          <w:p w:rsidR="002D5221" w:rsidRPr="002D5221" w:rsidRDefault="002D5221" w:rsidP="00792DC5">
            <w:pPr>
              <w:rPr>
                <w:lang w:eastAsia="fr-FR"/>
              </w:rPr>
            </w:pPr>
            <w:r w:rsidRPr="002D5221">
              <w:rPr>
                <w:lang w:eastAsia="fr-FR"/>
              </w:rPr>
              <w:t xml:space="preserve">Ouverture de l’exposition, </w:t>
            </w:r>
          </w:p>
        </w:tc>
        <w:tc>
          <w:tcPr>
            <w:tcW w:w="2303" w:type="dxa"/>
            <w:shd w:val="clear" w:color="auto" w:fill="auto"/>
          </w:tcPr>
          <w:p w:rsidR="002D5221" w:rsidRPr="002D5221" w:rsidRDefault="002D5221" w:rsidP="00792DC5">
            <w:pPr>
              <w:rPr>
                <w:lang w:eastAsia="fr-FR"/>
              </w:rPr>
            </w:pPr>
            <w:r w:rsidRPr="002D5221">
              <w:rPr>
                <w:lang w:eastAsia="fr-FR"/>
              </w:rPr>
              <w:t>Observations</w:t>
            </w:r>
          </w:p>
          <w:p w:rsidR="002D5221" w:rsidRPr="002D5221" w:rsidRDefault="002D5221" w:rsidP="00792DC5">
            <w:pPr>
              <w:rPr>
                <w:lang w:eastAsia="fr-FR"/>
              </w:rPr>
            </w:pPr>
          </w:p>
        </w:tc>
        <w:tc>
          <w:tcPr>
            <w:tcW w:w="2303" w:type="dxa"/>
            <w:shd w:val="clear" w:color="auto" w:fill="auto"/>
          </w:tcPr>
          <w:p w:rsidR="002D5221" w:rsidRPr="002D5221" w:rsidRDefault="002D5221" w:rsidP="00792DC5">
            <w:pPr>
              <w:rPr>
                <w:lang w:eastAsia="fr-FR"/>
              </w:rPr>
            </w:pPr>
            <w:r w:rsidRPr="002D5221">
              <w:rPr>
                <w:lang w:eastAsia="fr-FR"/>
              </w:rPr>
              <w:t>Natacha Gagné »</w:t>
            </w:r>
          </w:p>
          <w:p w:rsidR="002D5221" w:rsidRPr="002D5221" w:rsidRDefault="002D5221" w:rsidP="00792DC5">
            <w:pPr>
              <w:rPr>
                <w:lang w:eastAsia="fr-FR"/>
              </w:rPr>
            </w:pPr>
            <w:r w:rsidRPr="002D5221">
              <w:rPr>
                <w:lang w:eastAsia="fr-FR"/>
              </w:rPr>
              <w:t>Stagiaire</w:t>
            </w:r>
          </w:p>
          <w:p w:rsidR="002D5221" w:rsidRPr="002D5221" w:rsidRDefault="002D5221" w:rsidP="00792DC5">
            <w:pPr>
              <w:rPr>
                <w:lang w:eastAsia="fr-FR"/>
              </w:rPr>
            </w:pPr>
            <w:r w:rsidRPr="002D5221">
              <w:rPr>
                <w:lang w:eastAsia="fr-FR"/>
              </w:rPr>
              <w:t>Lee Davidson</w:t>
            </w:r>
          </w:p>
        </w:tc>
      </w:tr>
      <w:tr w:rsidR="002D5221" w:rsidRPr="002D5221" w:rsidTr="002D5221">
        <w:tc>
          <w:tcPr>
            <w:tcW w:w="2303" w:type="dxa"/>
            <w:shd w:val="clear" w:color="auto" w:fill="auto"/>
          </w:tcPr>
          <w:p w:rsidR="002D5221" w:rsidRPr="002D5221" w:rsidRDefault="002D5221" w:rsidP="00792DC5">
            <w:pPr>
              <w:rPr>
                <w:lang w:eastAsia="fr-FR"/>
              </w:rPr>
            </w:pPr>
            <w:r w:rsidRPr="002D5221">
              <w:rPr>
                <w:lang w:eastAsia="fr-FR"/>
              </w:rPr>
              <w:t xml:space="preserve">Du 20 au 30 </w:t>
            </w:r>
            <w:proofErr w:type="spellStart"/>
            <w:r w:rsidRPr="002D5221">
              <w:rPr>
                <w:lang w:eastAsia="fr-FR"/>
              </w:rPr>
              <w:t>Nov</w:t>
            </w:r>
            <w:proofErr w:type="spellEnd"/>
            <w:r w:rsidRPr="002D5221">
              <w:rPr>
                <w:lang w:eastAsia="fr-FR"/>
              </w:rPr>
              <w:t xml:space="preserve"> 2012</w:t>
            </w:r>
          </w:p>
        </w:tc>
        <w:tc>
          <w:tcPr>
            <w:tcW w:w="2303" w:type="dxa"/>
            <w:shd w:val="clear" w:color="auto" w:fill="auto"/>
          </w:tcPr>
          <w:p w:rsidR="002D5221" w:rsidRPr="002D5221" w:rsidRDefault="002D5221" w:rsidP="00792DC5">
            <w:pPr>
              <w:rPr>
                <w:lang w:eastAsia="fr-FR"/>
              </w:rPr>
            </w:pPr>
            <w:r w:rsidRPr="002D5221">
              <w:rPr>
                <w:lang w:eastAsia="fr-FR"/>
              </w:rPr>
              <w:t xml:space="preserve">Montréal – Cérémonie de restitution des têtes maories, Musée des </w:t>
            </w:r>
            <w:proofErr w:type="spellStart"/>
            <w:r w:rsidRPr="002D5221">
              <w:rPr>
                <w:lang w:eastAsia="fr-FR"/>
              </w:rPr>
              <w:t>Beaux arts</w:t>
            </w:r>
            <w:proofErr w:type="spellEnd"/>
          </w:p>
        </w:tc>
        <w:tc>
          <w:tcPr>
            <w:tcW w:w="2303" w:type="dxa"/>
            <w:shd w:val="clear" w:color="auto" w:fill="auto"/>
          </w:tcPr>
          <w:p w:rsidR="002D5221" w:rsidRPr="002D5221" w:rsidRDefault="002D5221" w:rsidP="00792DC5">
            <w:pPr>
              <w:rPr>
                <w:lang w:eastAsia="fr-FR"/>
              </w:rPr>
            </w:pPr>
            <w:r w:rsidRPr="002D5221">
              <w:rPr>
                <w:lang w:eastAsia="fr-FR"/>
              </w:rPr>
              <w:t>Observations</w:t>
            </w:r>
          </w:p>
        </w:tc>
        <w:tc>
          <w:tcPr>
            <w:tcW w:w="2303" w:type="dxa"/>
            <w:shd w:val="clear" w:color="auto" w:fill="auto"/>
          </w:tcPr>
          <w:p w:rsidR="002D5221" w:rsidRPr="002D5221" w:rsidRDefault="002D5221" w:rsidP="00792DC5">
            <w:pPr>
              <w:rPr>
                <w:lang w:eastAsia="fr-FR"/>
              </w:rPr>
            </w:pPr>
            <w:r w:rsidRPr="002D5221">
              <w:rPr>
                <w:lang w:eastAsia="fr-FR"/>
              </w:rPr>
              <w:t>Natacha Gagné »</w:t>
            </w:r>
          </w:p>
          <w:p w:rsidR="002D5221" w:rsidRPr="002D5221" w:rsidRDefault="002D5221" w:rsidP="00792DC5">
            <w:pPr>
              <w:rPr>
                <w:lang w:eastAsia="fr-FR"/>
              </w:rPr>
            </w:pPr>
            <w:r w:rsidRPr="002D5221">
              <w:rPr>
                <w:lang w:eastAsia="fr-FR"/>
              </w:rPr>
              <w:t>Stagiaire</w:t>
            </w:r>
          </w:p>
          <w:p w:rsidR="002D5221" w:rsidRPr="002D5221" w:rsidRDefault="002D5221" w:rsidP="00792DC5">
            <w:pPr>
              <w:rPr>
                <w:lang w:eastAsia="fr-FR"/>
              </w:rPr>
            </w:pPr>
          </w:p>
        </w:tc>
      </w:tr>
      <w:tr w:rsidR="002D5221" w:rsidRPr="002D5221" w:rsidTr="002D5221">
        <w:tc>
          <w:tcPr>
            <w:tcW w:w="2303" w:type="dxa"/>
            <w:shd w:val="clear" w:color="auto" w:fill="auto"/>
          </w:tcPr>
          <w:p w:rsidR="002D5221" w:rsidRPr="002D5221" w:rsidRDefault="002D5221" w:rsidP="00792DC5">
            <w:pPr>
              <w:rPr>
                <w:lang w:eastAsia="fr-FR"/>
              </w:rPr>
            </w:pPr>
            <w:r w:rsidRPr="002D5221">
              <w:rPr>
                <w:lang w:eastAsia="fr-FR"/>
              </w:rPr>
              <w:t xml:space="preserve">Du 20 au 30 </w:t>
            </w:r>
            <w:proofErr w:type="spellStart"/>
            <w:r w:rsidRPr="002D5221">
              <w:rPr>
                <w:lang w:eastAsia="fr-FR"/>
              </w:rPr>
              <w:t>Nov</w:t>
            </w:r>
            <w:proofErr w:type="spellEnd"/>
            <w:r w:rsidRPr="002D5221">
              <w:rPr>
                <w:lang w:eastAsia="fr-FR"/>
              </w:rPr>
              <w:t xml:space="preserve"> 2012</w:t>
            </w:r>
          </w:p>
        </w:tc>
        <w:tc>
          <w:tcPr>
            <w:tcW w:w="2303" w:type="dxa"/>
            <w:shd w:val="clear" w:color="auto" w:fill="auto"/>
          </w:tcPr>
          <w:p w:rsidR="002D5221" w:rsidRPr="002D5221" w:rsidRDefault="00F65BA9" w:rsidP="00792DC5">
            <w:pPr>
              <w:rPr>
                <w:lang w:eastAsia="fr-FR"/>
              </w:rPr>
            </w:pPr>
            <w:r w:rsidRPr="002D5221">
              <w:rPr>
                <w:lang w:eastAsia="fr-FR"/>
              </w:rPr>
              <w:t xml:space="preserve">Québec – Musée de la </w:t>
            </w:r>
            <w:proofErr w:type="spellStart"/>
            <w:r w:rsidRPr="002D5221">
              <w:rPr>
                <w:lang w:eastAsia="fr-FR"/>
              </w:rPr>
              <w:t>CIvilisation</w:t>
            </w:r>
            <w:proofErr w:type="spellEnd"/>
          </w:p>
        </w:tc>
        <w:tc>
          <w:tcPr>
            <w:tcW w:w="2303" w:type="dxa"/>
            <w:shd w:val="clear" w:color="auto" w:fill="auto"/>
          </w:tcPr>
          <w:p w:rsidR="002D5221" w:rsidRPr="002D5221" w:rsidRDefault="002D5221" w:rsidP="00792DC5">
            <w:pPr>
              <w:rPr>
                <w:lang w:eastAsia="fr-FR"/>
              </w:rPr>
            </w:pPr>
            <w:r w:rsidRPr="002D5221">
              <w:rPr>
                <w:lang w:eastAsia="fr-FR"/>
              </w:rPr>
              <w:t>Observations</w:t>
            </w:r>
          </w:p>
          <w:p w:rsidR="002D5221" w:rsidRPr="002D5221" w:rsidRDefault="002D5221" w:rsidP="00792DC5">
            <w:pPr>
              <w:rPr>
                <w:lang w:eastAsia="fr-FR"/>
              </w:rPr>
            </w:pPr>
            <w:r w:rsidRPr="002D5221">
              <w:rPr>
                <w:lang w:eastAsia="fr-FR"/>
              </w:rPr>
              <w:t>Visites</w:t>
            </w:r>
          </w:p>
          <w:p w:rsidR="002D5221" w:rsidRPr="002D5221" w:rsidRDefault="002D5221" w:rsidP="00792DC5">
            <w:pPr>
              <w:rPr>
                <w:lang w:eastAsia="fr-FR"/>
              </w:rPr>
            </w:pPr>
            <w:r w:rsidRPr="002D5221">
              <w:rPr>
                <w:lang w:eastAsia="fr-FR"/>
              </w:rPr>
              <w:t>Entretiens professionnels</w:t>
            </w:r>
          </w:p>
          <w:p w:rsidR="002D5221" w:rsidRPr="002D5221" w:rsidRDefault="002D5221" w:rsidP="00792DC5">
            <w:pPr>
              <w:rPr>
                <w:lang w:eastAsia="fr-FR"/>
              </w:rPr>
            </w:pPr>
            <w:r w:rsidRPr="002D5221">
              <w:rPr>
                <w:lang w:eastAsia="fr-FR"/>
              </w:rPr>
              <w:t>Entretiens publics</w:t>
            </w:r>
          </w:p>
        </w:tc>
        <w:tc>
          <w:tcPr>
            <w:tcW w:w="2303" w:type="dxa"/>
            <w:shd w:val="clear" w:color="auto" w:fill="auto"/>
          </w:tcPr>
          <w:p w:rsidR="002D5221" w:rsidRPr="002D5221" w:rsidRDefault="002D5221" w:rsidP="00792DC5">
            <w:pPr>
              <w:rPr>
                <w:lang w:eastAsia="fr-FR"/>
              </w:rPr>
            </w:pPr>
            <w:r w:rsidRPr="002D5221">
              <w:rPr>
                <w:lang w:eastAsia="fr-FR"/>
              </w:rPr>
              <w:t>Natacha Gagné »</w:t>
            </w:r>
          </w:p>
          <w:p w:rsidR="002D5221" w:rsidRPr="002D5221" w:rsidRDefault="002D5221" w:rsidP="00792DC5">
            <w:pPr>
              <w:rPr>
                <w:lang w:eastAsia="fr-FR"/>
              </w:rPr>
            </w:pPr>
            <w:r w:rsidRPr="002D5221">
              <w:rPr>
                <w:lang w:eastAsia="fr-FR"/>
              </w:rPr>
              <w:t>Stagiaire</w:t>
            </w:r>
          </w:p>
          <w:p w:rsidR="002D5221" w:rsidRPr="002D5221" w:rsidRDefault="002D5221" w:rsidP="00792DC5">
            <w:pPr>
              <w:rPr>
                <w:lang w:eastAsia="fr-FR"/>
              </w:rPr>
            </w:pPr>
            <w:r w:rsidRPr="002D5221">
              <w:rPr>
                <w:lang w:eastAsia="fr-FR"/>
              </w:rPr>
              <w:t>Lee Davidson</w:t>
            </w:r>
          </w:p>
        </w:tc>
      </w:tr>
      <w:tr w:rsidR="002D5221" w:rsidRPr="002D5221" w:rsidTr="002D5221">
        <w:tc>
          <w:tcPr>
            <w:tcW w:w="2303" w:type="dxa"/>
            <w:shd w:val="clear" w:color="auto" w:fill="auto"/>
          </w:tcPr>
          <w:p w:rsidR="002D5221" w:rsidRPr="002D5221" w:rsidRDefault="002D5221" w:rsidP="00792DC5">
            <w:pPr>
              <w:rPr>
                <w:lang w:eastAsia="fr-FR"/>
              </w:rPr>
            </w:pPr>
            <w:r w:rsidRPr="002D5221">
              <w:rPr>
                <w:lang w:eastAsia="fr-FR"/>
              </w:rPr>
              <w:t>Du 29</w:t>
            </w:r>
            <w:r w:rsidR="00F65BA9">
              <w:rPr>
                <w:lang w:eastAsia="fr-FR"/>
              </w:rPr>
              <w:t xml:space="preserve"> avril au 5 mai 2013</w:t>
            </w:r>
          </w:p>
        </w:tc>
        <w:tc>
          <w:tcPr>
            <w:tcW w:w="2303" w:type="dxa"/>
            <w:shd w:val="clear" w:color="auto" w:fill="auto"/>
          </w:tcPr>
          <w:p w:rsidR="002D5221" w:rsidRPr="002D5221" w:rsidRDefault="002D5221" w:rsidP="00792DC5">
            <w:pPr>
              <w:rPr>
                <w:lang w:eastAsia="fr-FR"/>
              </w:rPr>
            </w:pPr>
            <w:r w:rsidRPr="002D5221">
              <w:rPr>
                <w:lang w:eastAsia="fr-FR"/>
              </w:rPr>
              <w:t xml:space="preserve">Québec – Musée de la </w:t>
            </w:r>
            <w:proofErr w:type="spellStart"/>
            <w:r w:rsidRPr="002D5221">
              <w:rPr>
                <w:lang w:eastAsia="fr-FR"/>
              </w:rPr>
              <w:t>CIvilisation</w:t>
            </w:r>
            <w:proofErr w:type="spellEnd"/>
          </w:p>
        </w:tc>
        <w:tc>
          <w:tcPr>
            <w:tcW w:w="2303" w:type="dxa"/>
            <w:shd w:val="clear" w:color="auto" w:fill="auto"/>
          </w:tcPr>
          <w:p w:rsidR="002D5221" w:rsidRPr="002D5221" w:rsidRDefault="002D5221" w:rsidP="00792DC5">
            <w:pPr>
              <w:rPr>
                <w:lang w:eastAsia="fr-FR"/>
              </w:rPr>
            </w:pPr>
            <w:r w:rsidRPr="002D5221">
              <w:rPr>
                <w:lang w:eastAsia="fr-FR"/>
              </w:rPr>
              <w:t>Entretiens professionnels</w:t>
            </w:r>
          </w:p>
          <w:p w:rsidR="002D5221" w:rsidRPr="002D5221" w:rsidRDefault="002D5221" w:rsidP="00792DC5">
            <w:pPr>
              <w:rPr>
                <w:lang w:eastAsia="fr-FR"/>
              </w:rPr>
            </w:pPr>
            <w:r w:rsidRPr="002D5221">
              <w:rPr>
                <w:lang w:eastAsia="fr-FR"/>
              </w:rPr>
              <w:t>Entretiens publics</w:t>
            </w:r>
          </w:p>
        </w:tc>
        <w:tc>
          <w:tcPr>
            <w:tcW w:w="2303" w:type="dxa"/>
            <w:shd w:val="clear" w:color="auto" w:fill="auto"/>
          </w:tcPr>
          <w:p w:rsidR="002D5221" w:rsidRPr="002D5221" w:rsidRDefault="002D5221" w:rsidP="00792DC5">
            <w:pPr>
              <w:rPr>
                <w:lang w:eastAsia="fr-FR"/>
              </w:rPr>
            </w:pPr>
            <w:r>
              <w:rPr>
                <w:lang w:eastAsia="fr-FR"/>
              </w:rPr>
              <w:t>Natacha Gagné</w:t>
            </w:r>
          </w:p>
          <w:p w:rsidR="002D5221" w:rsidRPr="002D5221" w:rsidRDefault="002D5221" w:rsidP="00792DC5">
            <w:pPr>
              <w:rPr>
                <w:lang w:eastAsia="fr-FR"/>
              </w:rPr>
            </w:pPr>
            <w:r w:rsidRPr="002D5221">
              <w:rPr>
                <w:lang w:eastAsia="fr-FR"/>
              </w:rPr>
              <w:t>Mélanie Roustan</w:t>
            </w:r>
          </w:p>
          <w:p w:rsidR="002D5221" w:rsidRPr="002D5221" w:rsidRDefault="002D5221" w:rsidP="00792DC5">
            <w:pPr>
              <w:rPr>
                <w:lang w:eastAsia="fr-FR"/>
              </w:rPr>
            </w:pPr>
          </w:p>
        </w:tc>
      </w:tr>
    </w:tbl>
    <w:p w:rsidR="00FD4DCE" w:rsidRDefault="00FD4DCE" w:rsidP="00A00BAA">
      <w:pPr>
        <w:shd w:val="clear" w:color="auto" w:fill="FFFFFF"/>
        <w:spacing w:after="0" w:line="240" w:lineRule="auto"/>
        <w:rPr>
          <w:rFonts w:ascii="Helvetica" w:eastAsia="Times New Roman" w:hAnsi="Helvetica" w:cs="Helvetica"/>
          <w:color w:val="222222"/>
          <w:lang w:eastAsia="fr-FR"/>
        </w:rPr>
      </w:pPr>
    </w:p>
    <w:p w:rsidR="00FD4DCE" w:rsidRDefault="00E435E3" w:rsidP="00A00BAA">
      <w:pPr>
        <w:pStyle w:val="Titre3"/>
        <w:rPr>
          <w:rFonts w:eastAsia="Times New Roman"/>
          <w:lang w:eastAsia="fr-FR"/>
        </w:rPr>
      </w:pPr>
      <w:bookmarkStart w:id="5" w:name="_Toc385923188"/>
      <w:r>
        <w:rPr>
          <w:rFonts w:eastAsia="Times New Roman"/>
          <w:lang w:eastAsia="fr-FR"/>
        </w:rPr>
        <w:t>22</w:t>
      </w:r>
      <w:r w:rsidR="00FD4DCE">
        <w:rPr>
          <w:rFonts w:eastAsia="Times New Roman"/>
          <w:lang w:eastAsia="fr-FR"/>
        </w:rPr>
        <w:t>. Entretiens</w:t>
      </w:r>
      <w:bookmarkEnd w:id="5"/>
      <w:r w:rsidR="00FD4DCE">
        <w:rPr>
          <w:rFonts w:eastAsia="Times New Roman"/>
          <w:lang w:eastAsia="fr-FR"/>
        </w:rPr>
        <w:t xml:space="preserve"> </w:t>
      </w:r>
    </w:p>
    <w:p w:rsidR="00252B92" w:rsidRPr="00792DC5" w:rsidRDefault="00252B92" w:rsidP="00A00BAA">
      <w:pPr>
        <w:spacing w:before="100" w:beforeAutospacing="1" w:after="100" w:afterAutospacing="1" w:line="240" w:lineRule="auto"/>
        <w:rPr>
          <w:rFonts w:asciiTheme="minorHAnsi" w:eastAsia="Times New Roman" w:hAnsiTheme="minorHAnsi" w:cs="Tahoma"/>
          <w:lang w:eastAsia="fr-FR"/>
        </w:rPr>
      </w:pPr>
      <w:r w:rsidRPr="00792DC5">
        <w:rPr>
          <w:rFonts w:asciiTheme="minorHAnsi" w:eastAsia="Times New Roman" w:hAnsiTheme="minorHAnsi" w:cs="Tahoma"/>
          <w:lang w:eastAsia="fr-FR"/>
        </w:rPr>
        <w:t>6 membres de l’équipe du Quai Branly, 9 membres de l’équipe du Musée de la civilisation</w:t>
      </w:r>
      <w:r w:rsidR="002D5221" w:rsidRPr="00792DC5">
        <w:rPr>
          <w:rFonts w:asciiTheme="minorHAnsi" w:eastAsia="Times New Roman" w:hAnsiTheme="minorHAnsi" w:cs="Tahoma"/>
          <w:lang w:eastAsia="fr-FR"/>
        </w:rPr>
        <w:t> </w:t>
      </w:r>
      <w:r w:rsidR="00D753B9">
        <w:rPr>
          <w:rFonts w:asciiTheme="minorHAnsi" w:eastAsia="Times New Roman" w:hAnsiTheme="minorHAnsi" w:cs="Tahoma"/>
          <w:lang w:eastAsia="fr-FR"/>
        </w:rPr>
        <w:t xml:space="preserve"> (l’</w:t>
      </w:r>
      <w:r w:rsidRPr="00792DC5">
        <w:rPr>
          <w:rFonts w:asciiTheme="minorHAnsi" w:eastAsia="Times New Roman" w:hAnsiTheme="minorHAnsi" w:cs="Tahoma"/>
          <w:lang w:eastAsia="fr-FR"/>
        </w:rPr>
        <w:t>un des membres à deux reprises), et une dizaine de membres du Te Papa ont été interviewés.</w:t>
      </w:r>
    </w:p>
    <w:p w:rsidR="002D5221" w:rsidRPr="00792DC5" w:rsidRDefault="00252B92" w:rsidP="009A648E">
      <w:pPr>
        <w:spacing w:before="100" w:beforeAutospacing="1" w:after="100" w:afterAutospacing="1" w:line="240" w:lineRule="auto"/>
        <w:rPr>
          <w:rFonts w:asciiTheme="minorHAnsi" w:eastAsia="Times New Roman" w:hAnsiTheme="minorHAnsi" w:cs="Tahoma"/>
          <w:lang w:eastAsia="fr-FR"/>
        </w:rPr>
      </w:pPr>
      <w:r w:rsidRPr="00792DC5">
        <w:rPr>
          <w:rFonts w:asciiTheme="minorHAnsi" w:eastAsia="Times New Roman" w:hAnsiTheme="minorHAnsi" w:cs="Tahoma"/>
          <w:lang w:eastAsia="fr-FR"/>
        </w:rPr>
        <w:t>Il s’agit de perso</w:t>
      </w:r>
      <w:r w:rsidR="00792DC5" w:rsidRPr="00792DC5">
        <w:rPr>
          <w:rFonts w:asciiTheme="minorHAnsi" w:eastAsia="Times New Roman" w:hAnsiTheme="minorHAnsi" w:cs="Tahoma"/>
          <w:lang w:eastAsia="fr-FR"/>
        </w:rPr>
        <w:t>nnes impliquées dans le projet </w:t>
      </w:r>
      <w:r w:rsidRPr="00792DC5">
        <w:rPr>
          <w:rFonts w:asciiTheme="minorHAnsi" w:eastAsia="Times New Roman" w:hAnsiTheme="minorHAnsi" w:cs="Tahoma"/>
          <w:lang w:eastAsia="fr-FR"/>
        </w:rPr>
        <w:t xml:space="preserve"> ayant des fonctions dans la direction, la conservation, la scénographie,  la communication ou la médiation des musées.</w:t>
      </w:r>
    </w:p>
    <w:p w:rsidR="009A648E" w:rsidRPr="00792DC5" w:rsidRDefault="00252B92" w:rsidP="00A00BAA">
      <w:pPr>
        <w:rPr>
          <w:rFonts w:asciiTheme="minorHAnsi" w:hAnsiTheme="minorHAnsi"/>
          <w:lang w:eastAsia="fr-FR"/>
        </w:rPr>
      </w:pPr>
      <w:r w:rsidRPr="00792DC5">
        <w:rPr>
          <w:rFonts w:asciiTheme="minorHAnsi" w:hAnsiTheme="minorHAnsi"/>
          <w:lang w:eastAsia="fr-FR"/>
        </w:rPr>
        <w:t>Une quarantaine d’entretiens ont été réalisés auprès des visiteurs à Paris et à Québec.</w:t>
      </w:r>
      <w:r w:rsidR="009A648E" w:rsidRPr="00792DC5">
        <w:rPr>
          <w:rFonts w:asciiTheme="minorHAnsi" w:hAnsiTheme="minorHAnsi"/>
          <w:lang w:eastAsia="fr-FR"/>
        </w:rPr>
        <w:t xml:space="preserve"> Ils ont été retranscrits et codés sous le logiciel </w:t>
      </w:r>
      <w:proofErr w:type="spellStart"/>
      <w:r w:rsidR="009A648E" w:rsidRPr="00792DC5">
        <w:rPr>
          <w:rFonts w:asciiTheme="minorHAnsi" w:hAnsiTheme="minorHAnsi"/>
          <w:lang w:eastAsia="fr-FR"/>
        </w:rPr>
        <w:t>Invivo</w:t>
      </w:r>
      <w:proofErr w:type="spellEnd"/>
      <w:r w:rsidR="009A648E" w:rsidRPr="00792DC5">
        <w:rPr>
          <w:rFonts w:asciiTheme="minorHAnsi" w:hAnsiTheme="minorHAnsi"/>
          <w:lang w:eastAsia="fr-FR"/>
        </w:rPr>
        <w:t>.</w:t>
      </w:r>
    </w:p>
    <w:p w:rsidR="00E435E3" w:rsidRDefault="001E67F7" w:rsidP="00E435E3">
      <w:pPr>
        <w:pStyle w:val="Titre2"/>
        <w:rPr>
          <w:lang w:eastAsia="fr-FR"/>
        </w:rPr>
      </w:pPr>
      <w:bookmarkStart w:id="6" w:name="_Toc385923189"/>
      <w:r>
        <w:rPr>
          <w:lang w:eastAsia="fr-FR"/>
        </w:rPr>
        <w:lastRenderedPageBreak/>
        <w:t xml:space="preserve">3. </w:t>
      </w:r>
      <w:r w:rsidR="00F3079F">
        <w:rPr>
          <w:lang w:eastAsia="fr-FR"/>
        </w:rPr>
        <w:t>Partenaires et b</w:t>
      </w:r>
      <w:r>
        <w:rPr>
          <w:lang w:eastAsia="fr-FR"/>
        </w:rPr>
        <w:t>udget</w:t>
      </w:r>
      <w:bookmarkEnd w:id="6"/>
    </w:p>
    <w:p w:rsidR="00E435E3" w:rsidRPr="00E435E3" w:rsidRDefault="00E435E3" w:rsidP="00E435E3">
      <w:pPr>
        <w:pStyle w:val="Titre3"/>
        <w:rPr>
          <w:lang w:eastAsia="fr-FR"/>
        </w:rPr>
      </w:pPr>
      <w:bookmarkStart w:id="7" w:name="_Toc385923190"/>
      <w:r>
        <w:rPr>
          <w:lang w:eastAsia="fr-FR"/>
        </w:rPr>
        <w:t>31. Partenaires</w:t>
      </w:r>
      <w:bookmarkEnd w:id="7"/>
    </w:p>
    <w:p w:rsidR="00A00BAA" w:rsidRPr="00E435E3" w:rsidRDefault="00A00BAA" w:rsidP="00A00BAA">
      <w:pPr>
        <w:rPr>
          <w:rFonts w:eastAsia="Times New Roman" w:cs="Times New Roman"/>
          <w:lang w:eastAsia="fr-FR"/>
        </w:rPr>
      </w:pPr>
      <w:r w:rsidRPr="00E435E3">
        <w:rPr>
          <w:rFonts w:eastAsia="Times New Roman" w:cs="Times New Roman"/>
          <w:lang w:eastAsia="fr-FR"/>
        </w:rPr>
        <w:t>Comme on peut le voir dans le tableau ci-dessous, le projet associe les 3 musées et 3 universités de rattachement des chercheures impliqu</w:t>
      </w:r>
      <w:r w:rsidR="00E435E3" w:rsidRPr="00E435E3">
        <w:rPr>
          <w:rFonts w:eastAsia="Times New Roman" w:cs="Times New Roman"/>
          <w:lang w:eastAsia="fr-FR"/>
        </w:rPr>
        <w:t>ées, dans les 3 pays concernés.</w:t>
      </w:r>
    </w:p>
    <w:tbl>
      <w:tblPr>
        <w:tblW w:w="0" w:type="auto"/>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4A0" w:firstRow="1" w:lastRow="0" w:firstColumn="1" w:lastColumn="0" w:noHBand="0" w:noVBand="1"/>
      </w:tblPr>
      <w:tblGrid>
        <w:gridCol w:w="2303"/>
        <w:gridCol w:w="2303"/>
        <w:gridCol w:w="2303"/>
        <w:gridCol w:w="2303"/>
      </w:tblGrid>
      <w:tr w:rsidR="00A00BAA" w:rsidRPr="002D5221" w:rsidTr="00E435E3">
        <w:tc>
          <w:tcPr>
            <w:tcW w:w="2303" w:type="dxa"/>
            <w:shd w:val="solid" w:color="000080" w:fill="FFFFFF"/>
          </w:tcPr>
          <w:p w:rsidR="00A00BAA" w:rsidRPr="002D5221" w:rsidRDefault="00A00BAA" w:rsidP="00A00BAA">
            <w:pPr>
              <w:rPr>
                <w:rFonts w:eastAsia="Times New Roman" w:cs="Times New Roman"/>
                <w:b/>
                <w:bCs/>
                <w:sz w:val="24"/>
                <w:lang w:eastAsia="fr-FR"/>
              </w:rPr>
            </w:pPr>
            <w:r w:rsidRPr="002D5221">
              <w:rPr>
                <w:rFonts w:eastAsia="Times New Roman" w:cs="Times New Roman"/>
                <w:b/>
                <w:bCs/>
                <w:sz w:val="24"/>
                <w:lang w:eastAsia="fr-FR"/>
              </w:rPr>
              <w:t>PAYS</w:t>
            </w:r>
          </w:p>
        </w:tc>
        <w:tc>
          <w:tcPr>
            <w:tcW w:w="2303" w:type="dxa"/>
            <w:shd w:val="solid" w:color="000080" w:fill="FFFFFF"/>
          </w:tcPr>
          <w:p w:rsidR="00A00BAA" w:rsidRPr="002D5221" w:rsidRDefault="00A00BAA" w:rsidP="00A00BAA">
            <w:pPr>
              <w:rPr>
                <w:rFonts w:eastAsia="Times New Roman" w:cs="Times New Roman"/>
                <w:b/>
                <w:bCs/>
                <w:sz w:val="24"/>
                <w:lang w:eastAsia="fr-FR"/>
              </w:rPr>
            </w:pPr>
            <w:r w:rsidRPr="002D5221">
              <w:rPr>
                <w:rFonts w:eastAsia="Times New Roman" w:cs="Times New Roman"/>
                <w:b/>
                <w:bCs/>
                <w:sz w:val="24"/>
                <w:lang w:eastAsia="fr-FR"/>
              </w:rPr>
              <w:t>FRANCE</w:t>
            </w:r>
          </w:p>
        </w:tc>
        <w:tc>
          <w:tcPr>
            <w:tcW w:w="2303" w:type="dxa"/>
            <w:shd w:val="solid" w:color="000080" w:fill="FFFFFF"/>
          </w:tcPr>
          <w:p w:rsidR="00A00BAA" w:rsidRPr="002D5221" w:rsidRDefault="00A00BAA" w:rsidP="00A00BAA">
            <w:pPr>
              <w:rPr>
                <w:rFonts w:eastAsia="Times New Roman" w:cs="Times New Roman"/>
                <w:b/>
                <w:bCs/>
                <w:sz w:val="24"/>
                <w:lang w:eastAsia="fr-FR"/>
              </w:rPr>
            </w:pPr>
            <w:r w:rsidRPr="002D5221">
              <w:rPr>
                <w:rFonts w:eastAsia="Times New Roman" w:cs="Times New Roman"/>
                <w:b/>
                <w:bCs/>
                <w:sz w:val="24"/>
                <w:lang w:eastAsia="fr-FR"/>
              </w:rPr>
              <w:t>CANADA</w:t>
            </w:r>
          </w:p>
        </w:tc>
        <w:tc>
          <w:tcPr>
            <w:tcW w:w="2303" w:type="dxa"/>
            <w:shd w:val="solid" w:color="000080" w:fill="FFFFFF"/>
          </w:tcPr>
          <w:p w:rsidR="00A00BAA" w:rsidRPr="002D5221" w:rsidRDefault="00A00BAA" w:rsidP="00A00BAA">
            <w:pPr>
              <w:rPr>
                <w:rFonts w:eastAsia="Times New Roman" w:cs="Times New Roman"/>
                <w:b/>
                <w:bCs/>
                <w:sz w:val="24"/>
                <w:lang w:eastAsia="fr-FR"/>
              </w:rPr>
            </w:pPr>
            <w:r w:rsidRPr="002D5221">
              <w:rPr>
                <w:rFonts w:eastAsia="Times New Roman" w:cs="Times New Roman"/>
                <w:b/>
                <w:bCs/>
                <w:sz w:val="24"/>
                <w:lang w:eastAsia="fr-FR"/>
              </w:rPr>
              <w:t>NOUVELLE ZELANDE</w:t>
            </w:r>
          </w:p>
        </w:tc>
      </w:tr>
      <w:tr w:rsidR="00A00BAA" w:rsidRPr="002D5221" w:rsidTr="00E435E3">
        <w:tc>
          <w:tcPr>
            <w:tcW w:w="2303" w:type="dxa"/>
            <w:shd w:val="clear" w:color="auto" w:fill="auto"/>
          </w:tcPr>
          <w:p w:rsidR="00A00BAA" w:rsidRPr="002D5221" w:rsidRDefault="00A00BAA" w:rsidP="00A00BAA">
            <w:pPr>
              <w:rPr>
                <w:rFonts w:eastAsia="Times New Roman" w:cs="Times New Roman"/>
                <w:sz w:val="24"/>
                <w:lang w:eastAsia="fr-FR"/>
              </w:rPr>
            </w:pPr>
            <w:r w:rsidRPr="002D5221">
              <w:rPr>
                <w:rFonts w:eastAsia="Times New Roman" w:cs="Times New Roman"/>
                <w:sz w:val="24"/>
                <w:lang w:eastAsia="fr-FR"/>
              </w:rPr>
              <w:t>Ville</w:t>
            </w:r>
          </w:p>
        </w:tc>
        <w:tc>
          <w:tcPr>
            <w:tcW w:w="2303" w:type="dxa"/>
            <w:shd w:val="clear" w:color="auto" w:fill="auto"/>
          </w:tcPr>
          <w:p w:rsidR="00A00BAA" w:rsidRPr="002D5221" w:rsidRDefault="00A00BAA" w:rsidP="00A00BAA">
            <w:pPr>
              <w:rPr>
                <w:rFonts w:eastAsia="Times New Roman" w:cs="Times New Roman"/>
                <w:sz w:val="24"/>
                <w:lang w:eastAsia="fr-FR"/>
              </w:rPr>
            </w:pPr>
            <w:r w:rsidRPr="002D5221">
              <w:rPr>
                <w:rFonts w:eastAsia="Times New Roman" w:cs="Times New Roman"/>
                <w:sz w:val="24"/>
                <w:lang w:eastAsia="fr-FR"/>
              </w:rPr>
              <w:t>Paris</w:t>
            </w:r>
          </w:p>
        </w:tc>
        <w:tc>
          <w:tcPr>
            <w:tcW w:w="2303" w:type="dxa"/>
            <w:shd w:val="clear" w:color="auto" w:fill="auto"/>
          </w:tcPr>
          <w:p w:rsidR="00A00BAA" w:rsidRPr="002D5221" w:rsidRDefault="00A00BAA" w:rsidP="00A00BAA">
            <w:pPr>
              <w:rPr>
                <w:rFonts w:eastAsia="Times New Roman" w:cs="Times New Roman"/>
                <w:sz w:val="24"/>
                <w:lang w:eastAsia="fr-FR"/>
              </w:rPr>
            </w:pPr>
            <w:r w:rsidRPr="002D5221">
              <w:rPr>
                <w:rFonts w:eastAsia="Times New Roman" w:cs="Times New Roman"/>
                <w:sz w:val="24"/>
                <w:lang w:eastAsia="fr-FR"/>
              </w:rPr>
              <w:t>Québec</w:t>
            </w:r>
          </w:p>
        </w:tc>
        <w:tc>
          <w:tcPr>
            <w:tcW w:w="2303" w:type="dxa"/>
            <w:shd w:val="clear" w:color="auto" w:fill="auto"/>
          </w:tcPr>
          <w:p w:rsidR="00A00BAA" w:rsidRPr="002D5221" w:rsidRDefault="00A00BAA" w:rsidP="00A00BAA">
            <w:pPr>
              <w:rPr>
                <w:rFonts w:eastAsia="Times New Roman" w:cs="Times New Roman"/>
                <w:sz w:val="24"/>
                <w:lang w:eastAsia="fr-FR"/>
              </w:rPr>
            </w:pPr>
            <w:r w:rsidRPr="002D5221">
              <w:rPr>
                <w:rFonts w:eastAsia="Times New Roman" w:cs="Times New Roman"/>
                <w:sz w:val="24"/>
                <w:lang w:eastAsia="fr-FR"/>
              </w:rPr>
              <w:t>Wellington</w:t>
            </w:r>
          </w:p>
        </w:tc>
      </w:tr>
      <w:tr w:rsidR="00A00BAA" w:rsidRPr="002D5221" w:rsidTr="00E435E3">
        <w:tc>
          <w:tcPr>
            <w:tcW w:w="2303" w:type="dxa"/>
            <w:shd w:val="clear" w:color="auto" w:fill="auto"/>
          </w:tcPr>
          <w:p w:rsidR="00A00BAA" w:rsidRPr="002D5221" w:rsidRDefault="00A00BAA" w:rsidP="00A00BAA">
            <w:pPr>
              <w:rPr>
                <w:rFonts w:eastAsia="Times New Roman" w:cs="Times New Roman"/>
                <w:sz w:val="24"/>
                <w:lang w:eastAsia="fr-FR"/>
              </w:rPr>
            </w:pPr>
            <w:r w:rsidRPr="002D5221">
              <w:rPr>
                <w:rFonts w:eastAsia="Times New Roman" w:cs="Times New Roman"/>
                <w:sz w:val="24"/>
                <w:lang w:eastAsia="fr-FR"/>
              </w:rPr>
              <w:t>Musée</w:t>
            </w:r>
          </w:p>
        </w:tc>
        <w:tc>
          <w:tcPr>
            <w:tcW w:w="2303" w:type="dxa"/>
            <w:shd w:val="clear" w:color="auto" w:fill="auto"/>
          </w:tcPr>
          <w:p w:rsidR="00A00BAA" w:rsidRPr="002D5221" w:rsidRDefault="00A00BAA" w:rsidP="00A00BAA">
            <w:pPr>
              <w:rPr>
                <w:rFonts w:eastAsia="Times New Roman" w:cs="Times New Roman"/>
                <w:sz w:val="24"/>
                <w:lang w:eastAsia="fr-FR"/>
              </w:rPr>
            </w:pPr>
            <w:r w:rsidRPr="002D5221">
              <w:rPr>
                <w:rFonts w:eastAsia="Times New Roman" w:cs="Times New Roman"/>
                <w:sz w:val="24"/>
                <w:lang w:eastAsia="fr-FR"/>
              </w:rPr>
              <w:t>Musée du quai Branly</w:t>
            </w:r>
          </w:p>
        </w:tc>
        <w:tc>
          <w:tcPr>
            <w:tcW w:w="2303" w:type="dxa"/>
            <w:shd w:val="clear" w:color="auto" w:fill="auto"/>
          </w:tcPr>
          <w:p w:rsidR="00A00BAA" w:rsidRPr="002D5221" w:rsidRDefault="00A00BAA" w:rsidP="00A00BAA">
            <w:pPr>
              <w:rPr>
                <w:rFonts w:eastAsia="Times New Roman" w:cs="Times New Roman"/>
                <w:sz w:val="24"/>
                <w:lang w:eastAsia="fr-FR"/>
              </w:rPr>
            </w:pPr>
            <w:r w:rsidRPr="002D5221">
              <w:rPr>
                <w:rFonts w:eastAsia="Times New Roman" w:cs="Times New Roman"/>
                <w:sz w:val="24"/>
                <w:lang w:eastAsia="fr-FR"/>
              </w:rPr>
              <w:t>Musée de la Civilisation</w:t>
            </w:r>
          </w:p>
        </w:tc>
        <w:tc>
          <w:tcPr>
            <w:tcW w:w="2303" w:type="dxa"/>
            <w:shd w:val="clear" w:color="auto" w:fill="auto"/>
          </w:tcPr>
          <w:p w:rsidR="00A00BAA" w:rsidRPr="002D5221" w:rsidRDefault="00A00BAA" w:rsidP="00A00BAA">
            <w:pPr>
              <w:rPr>
                <w:rFonts w:eastAsia="Times New Roman" w:cs="Times New Roman"/>
                <w:sz w:val="24"/>
                <w:lang w:eastAsia="fr-FR"/>
              </w:rPr>
            </w:pPr>
            <w:r w:rsidRPr="002D5221">
              <w:rPr>
                <w:rFonts w:eastAsia="Times New Roman" w:cs="Times New Roman"/>
                <w:sz w:val="24"/>
                <w:lang w:eastAsia="fr-FR"/>
              </w:rPr>
              <w:t xml:space="preserve">Musée Te Papa </w:t>
            </w:r>
            <w:proofErr w:type="spellStart"/>
            <w:r w:rsidRPr="002D5221">
              <w:rPr>
                <w:rFonts w:eastAsia="Times New Roman" w:cs="Times New Roman"/>
                <w:sz w:val="24"/>
                <w:lang w:eastAsia="fr-FR"/>
              </w:rPr>
              <w:t>Tongarewa</w:t>
            </w:r>
            <w:proofErr w:type="spellEnd"/>
          </w:p>
        </w:tc>
      </w:tr>
      <w:tr w:rsidR="00A00BAA" w:rsidRPr="002D5221" w:rsidTr="00E435E3">
        <w:tc>
          <w:tcPr>
            <w:tcW w:w="2303" w:type="dxa"/>
            <w:shd w:val="clear" w:color="auto" w:fill="auto"/>
          </w:tcPr>
          <w:p w:rsidR="00A00BAA" w:rsidRPr="002D5221" w:rsidRDefault="00A00BAA" w:rsidP="00A00BAA">
            <w:pPr>
              <w:rPr>
                <w:rFonts w:eastAsia="Times New Roman" w:cs="Times New Roman"/>
                <w:sz w:val="24"/>
                <w:lang w:eastAsia="fr-FR"/>
              </w:rPr>
            </w:pPr>
            <w:r w:rsidRPr="002D5221">
              <w:rPr>
                <w:rFonts w:eastAsia="Times New Roman" w:cs="Times New Roman"/>
                <w:sz w:val="24"/>
                <w:lang w:eastAsia="fr-FR"/>
              </w:rPr>
              <w:t>Université</w:t>
            </w:r>
          </w:p>
        </w:tc>
        <w:tc>
          <w:tcPr>
            <w:tcW w:w="2303" w:type="dxa"/>
            <w:shd w:val="clear" w:color="auto" w:fill="auto"/>
          </w:tcPr>
          <w:p w:rsidR="00A00BAA" w:rsidRPr="002D5221" w:rsidRDefault="00A00BAA" w:rsidP="00A00BAA">
            <w:pPr>
              <w:rPr>
                <w:rFonts w:eastAsia="Times New Roman" w:cs="Times New Roman"/>
                <w:sz w:val="24"/>
                <w:lang w:eastAsia="fr-FR"/>
              </w:rPr>
            </w:pPr>
            <w:r w:rsidRPr="002D5221">
              <w:rPr>
                <w:rFonts w:eastAsia="Times New Roman" w:cs="Times New Roman"/>
                <w:sz w:val="24"/>
                <w:lang w:eastAsia="fr-FR"/>
              </w:rPr>
              <w:t>Université de Lorraine</w:t>
            </w:r>
          </w:p>
        </w:tc>
        <w:tc>
          <w:tcPr>
            <w:tcW w:w="2303" w:type="dxa"/>
            <w:shd w:val="clear" w:color="auto" w:fill="auto"/>
          </w:tcPr>
          <w:p w:rsidR="00A00BAA" w:rsidRPr="002D5221" w:rsidRDefault="00A00BAA" w:rsidP="00A00BAA">
            <w:pPr>
              <w:rPr>
                <w:rFonts w:eastAsia="Times New Roman" w:cs="Times New Roman"/>
                <w:sz w:val="24"/>
                <w:lang w:eastAsia="fr-FR"/>
              </w:rPr>
            </w:pPr>
            <w:r w:rsidRPr="002D5221">
              <w:rPr>
                <w:rFonts w:eastAsia="Times New Roman" w:cs="Times New Roman"/>
                <w:sz w:val="24"/>
                <w:lang w:eastAsia="fr-FR"/>
              </w:rPr>
              <w:t>Université Laval</w:t>
            </w:r>
          </w:p>
        </w:tc>
        <w:tc>
          <w:tcPr>
            <w:tcW w:w="2303" w:type="dxa"/>
            <w:shd w:val="clear" w:color="auto" w:fill="auto"/>
          </w:tcPr>
          <w:p w:rsidR="00A00BAA" w:rsidRPr="002D5221" w:rsidRDefault="00A00BAA" w:rsidP="00A00BAA">
            <w:pPr>
              <w:rPr>
                <w:rFonts w:eastAsia="Times New Roman" w:cs="Times New Roman"/>
                <w:sz w:val="24"/>
                <w:lang w:eastAsia="fr-FR"/>
              </w:rPr>
            </w:pPr>
            <w:r w:rsidRPr="002D5221">
              <w:rPr>
                <w:rFonts w:eastAsia="Times New Roman" w:cs="Times New Roman"/>
                <w:sz w:val="24"/>
                <w:lang w:eastAsia="fr-FR"/>
              </w:rPr>
              <w:t>Université Victoria</w:t>
            </w:r>
          </w:p>
        </w:tc>
      </w:tr>
      <w:tr w:rsidR="00A00BAA" w:rsidRPr="002D5221" w:rsidTr="00E435E3">
        <w:tc>
          <w:tcPr>
            <w:tcW w:w="2303" w:type="dxa"/>
            <w:shd w:val="clear" w:color="auto" w:fill="auto"/>
          </w:tcPr>
          <w:p w:rsidR="00A00BAA" w:rsidRPr="002D5221" w:rsidRDefault="00A00BAA" w:rsidP="00A00BAA">
            <w:pPr>
              <w:rPr>
                <w:rFonts w:eastAsia="Times New Roman" w:cs="Times New Roman"/>
                <w:sz w:val="24"/>
                <w:lang w:eastAsia="fr-FR"/>
              </w:rPr>
            </w:pPr>
            <w:r w:rsidRPr="002D5221">
              <w:rPr>
                <w:rFonts w:eastAsia="Times New Roman" w:cs="Times New Roman"/>
                <w:sz w:val="24"/>
                <w:lang w:eastAsia="fr-FR"/>
              </w:rPr>
              <w:t>Département / Centre de recherche</w:t>
            </w:r>
          </w:p>
        </w:tc>
        <w:tc>
          <w:tcPr>
            <w:tcW w:w="2303" w:type="dxa"/>
            <w:shd w:val="clear" w:color="auto" w:fill="auto"/>
          </w:tcPr>
          <w:p w:rsidR="00A00BAA" w:rsidRPr="002D5221" w:rsidRDefault="00A00BAA" w:rsidP="00A00BAA">
            <w:pPr>
              <w:rPr>
                <w:rFonts w:eastAsia="Times New Roman" w:cs="Times New Roman"/>
                <w:sz w:val="24"/>
                <w:lang w:eastAsia="fr-FR"/>
              </w:rPr>
            </w:pPr>
            <w:r w:rsidRPr="002D5221">
              <w:rPr>
                <w:rFonts w:eastAsia="Times New Roman" w:cs="Times New Roman"/>
                <w:sz w:val="24"/>
                <w:lang w:eastAsia="fr-FR"/>
              </w:rPr>
              <w:t>Centre de recherche sur les médiations (Sciences de l’information et de la communication)</w:t>
            </w:r>
          </w:p>
        </w:tc>
        <w:tc>
          <w:tcPr>
            <w:tcW w:w="2303" w:type="dxa"/>
            <w:shd w:val="clear" w:color="auto" w:fill="auto"/>
          </w:tcPr>
          <w:p w:rsidR="00A00BAA" w:rsidRPr="002D5221" w:rsidRDefault="00A00BAA" w:rsidP="00A00BAA">
            <w:pPr>
              <w:rPr>
                <w:rFonts w:eastAsia="Times New Roman" w:cs="Times New Roman"/>
                <w:sz w:val="24"/>
                <w:lang w:eastAsia="fr-FR"/>
              </w:rPr>
            </w:pPr>
            <w:r w:rsidRPr="002D5221">
              <w:rPr>
                <w:rFonts w:eastAsia="Times New Roman" w:cs="Times New Roman"/>
                <w:sz w:val="24"/>
                <w:lang w:eastAsia="fr-FR"/>
              </w:rPr>
              <w:t>Département d’anthropologie</w:t>
            </w:r>
          </w:p>
        </w:tc>
        <w:tc>
          <w:tcPr>
            <w:tcW w:w="2303" w:type="dxa"/>
            <w:shd w:val="clear" w:color="auto" w:fill="auto"/>
          </w:tcPr>
          <w:p w:rsidR="00A00BAA" w:rsidRPr="002D5221" w:rsidRDefault="00A00BAA" w:rsidP="00A00BAA">
            <w:pPr>
              <w:rPr>
                <w:rFonts w:eastAsia="Times New Roman" w:cs="Times New Roman"/>
                <w:sz w:val="24"/>
                <w:lang w:eastAsia="fr-FR"/>
              </w:rPr>
            </w:pPr>
            <w:proofErr w:type="spellStart"/>
            <w:r w:rsidRPr="002D5221">
              <w:rPr>
                <w:rFonts w:eastAsia="Times New Roman" w:cs="Times New Roman"/>
                <w:sz w:val="24"/>
                <w:lang w:eastAsia="fr-FR"/>
              </w:rPr>
              <w:t>Heritage</w:t>
            </w:r>
            <w:proofErr w:type="spellEnd"/>
            <w:r w:rsidRPr="002D5221">
              <w:rPr>
                <w:rFonts w:eastAsia="Times New Roman" w:cs="Times New Roman"/>
                <w:sz w:val="24"/>
                <w:lang w:eastAsia="fr-FR"/>
              </w:rPr>
              <w:t xml:space="preserve"> and Museum </w:t>
            </w:r>
            <w:proofErr w:type="spellStart"/>
            <w:r w:rsidRPr="002D5221">
              <w:rPr>
                <w:rFonts w:eastAsia="Times New Roman" w:cs="Times New Roman"/>
                <w:sz w:val="24"/>
                <w:lang w:eastAsia="fr-FR"/>
              </w:rPr>
              <w:t>Studies</w:t>
            </w:r>
            <w:proofErr w:type="spellEnd"/>
          </w:p>
          <w:p w:rsidR="00A00BAA" w:rsidRPr="002D5221" w:rsidRDefault="00A00BAA" w:rsidP="00A00BAA">
            <w:pPr>
              <w:rPr>
                <w:rFonts w:eastAsia="Times New Roman" w:cs="Times New Roman"/>
                <w:sz w:val="24"/>
                <w:lang w:eastAsia="fr-FR"/>
              </w:rPr>
            </w:pPr>
          </w:p>
          <w:p w:rsidR="00A00BAA" w:rsidRPr="002D5221" w:rsidRDefault="00A00BAA" w:rsidP="00A00BAA">
            <w:pPr>
              <w:rPr>
                <w:rFonts w:eastAsia="Times New Roman" w:cs="Times New Roman"/>
                <w:sz w:val="24"/>
                <w:lang w:eastAsia="fr-FR"/>
              </w:rPr>
            </w:pPr>
          </w:p>
        </w:tc>
      </w:tr>
      <w:tr w:rsidR="00A00BAA" w:rsidRPr="002D5221" w:rsidTr="00E435E3">
        <w:tc>
          <w:tcPr>
            <w:tcW w:w="2303" w:type="dxa"/>
            <w:shd w:val="clear" w:color="auto" w:fill="auto"/>
          </w:tcPr>
          <w:p w:rsidR="00A00BAA" w:rsidRPr="002D5221" w:rsidRDefault="00A00BAA" w:rsidP="00A00BAA">
            <w:pPr>
              <w:rPr>
                <w:rFonts w:eastAsia="Times New Roman" w:cs="Times New Roman"/>
                <w:sz w:val="24"/>
                <w:lang w:eastAsia="fr-FR"/>
              </w:rPr>
            </w:pPr>
            <w:r w:rsidRPr="002D5221">
              <w:rPr>
                <w:rFonts w:eastAsia="Times New Roman" w:cs="Times New Roman"/>
                <w:sz w:val="24"/>
                <w:lang w:eastAsia="fr-FR"/>
              </w:rPr>
              <w:t>Chercheur(e)s</w:t>
            </w:r>
          </w:p>
        </w:tc>
        <w:tc>
          <w:tcPr>
            <w:tcW w:w="2303" w:type="dxa"/>
            <w:shd w:val="clear" w:color="auto" w:fill="auto"/>
          </w:tcPr>
          <w:p w:rsidR="00A00BAA" w:rsidRPr="002D5221" w:rsidRDefault="00A00BAA" w:rsidP="00A00BAA">
            <w:pPr>
              <w:rPr>
                <w:rFonts w:eastAsia="Times New Roman" w:cs="Times New Roman"/>
                <w:sz w:val="24"/>
                <w:lang w:eastAsia="fr-FR"/>
              </w:rPr>
            </w:pPr>
            <w:r w:rsidRPr="002D5221">
              <w:rPr>
                <w:rFonts w:eastAsia="Times New Roman" w:cs="Times New Roman"/>
                <w:sz w:val="24"/>
                <w:lang w:eastAsia="fr-FR"/>
              </w:rPr>
              <w:t xml:space="preserve">Dr. Gaëlle </w:t>
            </w:r>
            <w:proofErr w:type="spellStart"/>
            <w:r w:rsidRPr="002D5221">
              <w:rPr>
                <w:rFonts w:eastAsia="Times New Roman" w:cs="Times New Roman"/>
                <w:sz w:val="24"/>
                <w:lang w:eastAsia="fr-FR"/>
              </w:rPr>
              <w:t>Crenn</w:t>
            </w:r>
            <w:proofErr w:type="spellEnd"/>
          </w:p>
          <w:p w:rsidR="00A00BAA" w:rsidRPr="002D5221" w:rsidRDefault="00A00BAA" w:rsidP="00A00BAA">
            <w:pPr>
              <w:rPr>
                <w:rFonts w:eastAsia="Times New Roman" w:cs="Times New Roman"/>
                <w:sz w:val="24"/>
                <w:lang w:eastAsia="fr-FR"/>
              </w:rPr>
            </w:pPr>
            <w:r w:rsidRPr="002D5221">
              <w:rPr>
                <w:rFonts w:eastAsia="Times New Roman" w:cs="Times New Roman"/>
                <w:sz w:val="24"/>
                <w:lang w:eastAsia="fr-FR"/>
              </w:rPr>
              <w:t>Maîtresse de conférences en SIC.</w:t>
            </w:r>
          </w:p>
          <w:p w:rsidR="00A00BAA" w:rsidRPr="002D5221" w:rsidRDefault="00A00BAA" w:rsidP="00A00BAA">
            <w:pPr>
              <w:rPr>
                <w:rFonts w:eastAsia="Times New Roman" w:cs="Times New Roman"/>
                <w:sz w:val="24"/>
                <w:lang w:eastAsia="fr-FR"/>
              </w:rPr>
            </w:pPr>
          </w:p>
        </w:tc>
        <w:tc>
          <w:tcPr>
            <w:tcW w:w="2303" w:type="dxa"/>
            <w:shd w:val="clear" w:color="auto" w:fill="auto"/>
          </w:tcPr>
          <w:p w:rsidR="00A00BAA" w:rsidRPr="002D5221" w:rsidRDefault="00A00BAA" w:rsidP="00A00BAA">
            <w:pPr>
              <w:rPr>
                <w:rFonts w:eastAsia="Times New Roman" w:cs="Times New Roman"/>
                <w:sz w:val="24"/>
                <w:lang w:eastAsia="fr-FR"/>
              </w:rPr>
            </w:pPr>
            <w:r w:rsidRPr="002D5221">
              <w:rPr>
                <w:rFonts w:eastAsia="Times New Roman" w:cs="Times New Roman"/>
                <w:sz w:val="24"/>
                <w:lang w:eastAsia="fr-FR"/>
              </w:rPr>
              <w:t>Dr. Natacha Gagné</w:t>
            </w:r>
          </w:p>
          <w:p w:rsidR="00A00BAA" w:rsidRPr="002D5221" w:rsidRDefault="00A00BAA" w:rsidP="00A00BAA">
            <w:pPr>
              <w:rPr>
                <w:rFonts w:eastAsia="Times New Roman" w:cs="Times New Roman"/>
                <w:sz w:val="24"/>
                <w:lang w:eastAsia="fr-FR"/>
              </w:rPr>
            </w:pPr>
            <w:r w:rsidRPr="002D5221">
              <w:rPr>
                <w:rFonts w:eastAsia="Times New Roman" w:cs="Times New Roman"/>
                <w:sz w:val="24"/>
                <w:lang w:eastAsia="fr-FR"/>
              </w:rPr>
              <w:t>Professeure agrégée en anthropologie</w:t>
            </w:r>
          </w:p>
        </w:tc>
        <w:tc>
          <w:tcPr>
            <w:tcW w:w="2303" w:type="dxa"/>
            <w:shd w:val="clear" w:color="auto" w:fill="auto"/>
          </w:tcPr>
          <w:p w:rsidR="00A00BAA" w:rsidRPr="002D5221" w:rsidRDefault="00A00BAA" w:rsidP="00A00BAA">
            <w:pPr>
              <w:rPr>
                <w:rFonts w:eastAsia="Times New Roman" w:cs="Times New Roman"/>
                <w:sz w:val="24"/>
                <w:lang w:eastAsia="fr-FR"/>
              </w:rPr>
            </w:pPr>
            <w:r w:rsidRPr="002D5221">
              <w:rPr>
                <w:rFonts w:eastAsia="Times New Roman" w:cs="Times New Roman"/>
                <w:sz w:val="24"/>
                <w:lang w:eastAsia="fr-FR"/>
              </w:rPr>
              <w:t>Dr. Lee Davidson</w:t>
            </w:r>
          </w:p>
          <w:p w:rsidR="00A00BAA" w:rsidRPr="002D5221" w:rsidRDefault="00A00BAA" w:rsidP="00A00BAA">
            <w:pPr>
              <w:rPr>
                <w:rFonts w:eastAsia="Times New Roman" w:cs="Times New Roman"/>
                <w:sz w:val="24"/>
                <w:lang w:eastAsia="fr-FR"/>
              </w:rPr>
            </w:pPr>
            <w:r w:rsidRPr="002D5221">
              <w:rPr>
                <w:rFonts w:eastAsia="Times New Roman" w:cs="Times New Roman"/>
                <w:sz w:val="24"/>
                <w:lang w:eastAsia="fr-FR"/>
              </w:rPr>
              <w:t xml:space="preserve">Senior </w:t>
            </w:r>
            <w:proofErr w:type="spellStart"/>
            <w:r w:rsidRPr="002D5221">
              <w:rPr>
                <w:rFonts w:eastAsia="Times New Roman" w:cs="Times New Roman"/>
                <w:sz w:val="24"/>
                <w:lang w:eastAsia="fr-FR"/>
              </w:rPr>
              <w:t>Lecturer</w:t>
            </w:r>
            <w:proofErr w:type="spellEnd"/>
            <w:r w:rsidRPr="002D5221">
              <w:rPr>
                <w:rFonts w:eastAsia="Times New Roman" w:cs="Times New Roman"/>
                <w:sz w:val="24"/>
                <w:lang w:eastAsia="fr-FR"/>
              </w:rPr>
              <w:t xml:space="preserve">, en Etudes du tourisme et des musées </w:t>
            </w:r>
            <w:proofErr w:type="gramStart"/>
            <w:r w:rsidRPr="002D5221">
              <w:rPr>
                <w:rFonts w:eastAsia="Times New Roman" w:cs="Times New Roman"/>
                <w:sz w:val="24"/>
                <w:lang w:eastAsia="fr-FR"/>
              </w:rPr>
              <w:t xml:space="preserve">( </w:t>
            </w:r>
            <w:proofErr w:type="spellStart"/>
            <w:r w:rsidRPr="002D5221">
              <w:rPr>
                <w:rFonts w:eastAsia="Times New Roman" w:cs="Times New Roman"/>
                <w:sz w:val="24"/>
                <w:lang w:eastAsia="fr-FR"/>
              </w:rPr>
              <w:t>Leisure</w:t>
            </w:r>
            <w:proofErr w:type="spellEnd"/>
            <w:proofErr w:type="gramEnd"/>
            <w:r w:rsidRPr="002D5221">
              <w:rPr>
                <w:rFonts w:eastAsia="Times New Roman" w:cs="Times New Roman"/>
                <w:sz w:val="24"/>
                <w:lang w:eastAsia="fr-FR"/>
              </w:rPr>
              <w:t xml:space="preserve"> and Museum </w:t>
            </w:r>
            <w:proofErr w:type="spellStart"/>
            <w:r w:rsidRPr="002D5221">
              <w:rPr>
                <w:rFonts w:eastAsia="Times New Roman" w:cs="Times New Roman"/>
                <w:sz w:val="24"/>
                <w:lang w:eastAsia="fr-FR"/>
              </w:rPr>
              <w:t>Studies</w:t>
            </w:r>
            <w:proofErr w:type="spellEnd"/>
            <w:r w:rsidRPr="002D5221">
              <w:rPr>
                <w:rFonts w:eastAsia="Times New Roman" w:cs="Times New Roman"/>
                <w:sz w:val="24"/>
                <w:lang w:eastAsia="fr-FR"/>
              </w:rPr>
              <w:t>)</w:t>
            </w:r>
          </w:p>
        </w:tc>
      </w:tr>
      <w:tr w:rsidR="00A00BAA" w:rsidRPr="002D5221" w:rsidTr="00E435E3">
        <w:tc>
          <w:tcPr>
            <w:tcW w:w="2303" w:type="dxa"/>
            <w:shd w:val="clear" w:color="auto" w:fill="auto"/>
          </w:tcPr>
          <w:p w:rsidR="00A00BAA" w:rsidRPr="002D5221" w:rsidRDefault="00A00BAA" w:rsidP="00A00BAA">
            <w:pPr>
              <w:rPr>
                <w:rFonts w:eastAsia="Times New Roman" w:cs="Times New Roman"/>
                <w:sz w:val="24"/>
                <w:lang w:eastAsia="fr-FR"/>
              </w:rPr>
            </w:pPr>
          </w:p>
        </w:tc>
        <w:tc>
          <w:tcPr>
            <w:tcW w:w="2303" w:type="dxa"/>
            <w:shd w:val="clear" w:color="auto" w:fill="auto"/>
          </w:tcPr>
          <w:p w:rsidR="00A00BAA" w:rsidRPr="002D5221" w:rsidRDefault="009A648E" w:rsidP="009A648E">
            <w:pPr>
              <w:rPr>
                <w:rFonts w:eastAsia="Times New Roman" w:cs="Times New Roman"/>
                <w:sz w:val="24"/>
                <w:lang w:eastAsia="fr-FR"/>
              </w:rPr>
            </w:pPr>
            <w:r>
              <w:rPr>
                <w:rFonts w:eastAsia="Times New Roman" w:cs="Times New Roman"/>
                <w:sz w:val="24"/>
                <w:lang w:eastAsia="fr-FR"/>
              </w:rPr>
              <w:t>Muséum d’histoire naturelle, Département de muséologie, Paris</w:t>
            </w:r>
          </w:p>
        </w:tc>
        <w:tc>
          <w:tcPr>
            <w:tcW w:w="2303" w:type="dxa"/>
            <w:shd w:val="clear" w:color="auto" w:fill="auto"/>
          </w:tcPr>
          <w:p w:rsidR="00A00BAA" w:rsidRPr="002D5221" w:rsidRDefault="00A00BAA" w:rsidP="00A00BAA">
            <w:pPr>
              <w:rPr>
                <w:rFonts w:eastAsia="Times New Roman" w:cs="Times New Roman"/>
                <w:sz w:val="24"/>
                <w:lang w:eastAsia="fr-FR"/>
              </w:rPr>
            </w:pPr>
            <w:r w:rsidRPr="002D5221">
              <w:rPr>
                <w:rFonts w:eastAsia="Times New Roman" w:cs="Times New Roman"/>
                <w:sz w:val="24"/>
                <w:lang w:eastAsia="fr-FR"/>
              </w:rPr>
              <w:t>Me Eve Desroches</w:t>
            </w:r>
          </w:p>
          <w:p w:rsidR="00A00BAA" w:rsidRPr="002D5221" w:rsidRDefault="00D753B9" w:rsidP="00A00BAA">
            <w:pPr>
              <w:rPr>
                <w:rFonts w:eastAsia="Times New Roman" w:cs="Times New Roman"/>
                <w:sz w:val="24"/>
                <w:lang w:eastAsia="fr-FR"/>
              </w:rPr>
            </w:pPr>
            <w:r>
              <w:rPr>
                <w:rFonts w:eastAsia="Times New Roman" w:cs="Times New Roman"/>
                <w:sz w:val="24"/>
                <w:lang w:eastAsia="fr-FR"/>
              </w:rPr>
              <w:t>S</w:t>
            </w:r>
            <w:r w:rsidR="00A00BAA">
              <w:rPr>
                <w:rFonts w:eastAsia="Times New Roman" w:cs="Times New Roman"/>
                <w:sz w:val="24"/>
                <w:lang w:eastAsia="fr-FR"/>
              </w:rPr>
              <w:t>tagiaire</w:t>
            </w:r>
            <w:r>
              <w:rPr>
                <w:rFonts w:eastAsia="Times New Roman" w:cs="Times New Roman"/>
                <w:sz w:val="24"/>
                <w:lang w:eastAsia="fr-FR"/>
              </w:rPr>
              <w:t>, sous la direction de Natacha Gagné</w:t>
            </w:r>
          </w:p>
          <w:p w:rsidR="00A00BAA" w:rsidRPr="002D5221" w:rsidRDefault="00A00BAA" w:rsidP="00A00BAA">
            <w:pPr>
              <w:rPr>
                <w:rFonts w:eastAsia="Times New Roman" w:cs="Times New Roman"/>
                <w:sz w:val="24"/>
                <w:lang w:eastAsia="fr-FR"/>
              </w:rPr>
            </w:pPr>
          </w:p>
        </w:tc>
        <w:tc>
          <w:tcPr>
            <w:tcW w:w="2303" w:type="dxa"/>
            <w:shd w:val="clear" w:color="auto" w:fill="auto"/>
          </w:tcPr>
          <w:p w:rsidR="00A00BAA" w:rsidRPr="002D5221" w:rsidRDefault="00A00BAA" w:rsidP="00A00BAA">
            <w:pPr>
              <w:rPr>
                <w:rFonts w:eastAsia="Times New Roman" w:cs="Times New Roman"/>
                <w:sz w:val="24"/>
                <w:lang w:eastAsia="fr-FR"/>
              </w:rPr>
            </w:pPr>
          </w:p>
        </w:tc>
      </w:tr>
      <w:tr w:rsidR="00A00BAA" w:rsidRPr="002D5221" w:rsidTr="00E435E3">
        <w:tc>
          <w:tcPr>
            <w:tcW w:w="2303" w:type="dxa"/>
            <w:shd w:val="clear" w:color="auto" w:fill="auto"/>
          </w:tcPr>
          <w:p w:rsidR="00A00BAA" w:rsidRPr="002D5221" w:rsidRDefault="00A00BAA" w:rsidP="00A00BAA">
            <w:pPr>
              <w:rPr>
                <w:rFonts w:eastAsia="Times New Roman" w:cs="Times New Roman"/>
                <w:sz w:val="24"/>
                <w:lang w:eastAsia="fr-FR"/>
              </w:rPr>
            </w:pPr>
          </w:p>
        </w:tc>
        <w:tc>
          <w:tcPr>
            <w:tcW w:w="2303" w:type="dxa"/>
            <w:shd w:val="clear" w:color="auto" w:fill="auto"/>
          </w:tcPr>
          <w:p w:rsidR="009A648E" w:rsidRPr="002D5221" w:rsidRDefault="009A648E" w:rsidP="009A648E">
            <w:pPr>
              <w:rPr>
                <w:rFonts w:eastAsia="Times New Roman" w:cs="Times New Roman"/>
                <w:sz w:val="24"/>
                <w:lang w:eastAsia="fr-FR"/>
              </w:rPr>
            </w:pPr>
            <w:r w:rsidRPr="002D5221">
              <w:rPr>
                <w:rFonts w:eastAsia="Times New Roman" w:cs="Times New Roman"/>
                <w:sz w:val="24"/>
                <w:lang w:eastAsia="fr-FR"/>
              </w:rPr>
              <w:t>Mélanie Roustan</w:t>
            </w:r>
            <w:r>
              <w:rPr>
                <w:rFonts w:eastAsia="Times New Roman" w:cs="Times New Roman"/>
                <w:sz w:val="24"/>
                <w:lang w:eastAsia="fr-FR"/>
              </w:rPr>
              <w:t xml:space="preserve">, </w:t>
            </w:r>
            <w:r w:rsidRPr="002D5221">
              <w:rPr>
                <w:rFonts w:eastAsia="Times New Roman" w:cs="Times New Roman"/>
                <w:sz w:val="24"/>
                <w:lang w:eastAsia="fr-FR"/>
              </w:rPr>
              <w:t>Maîtresse de conférences</w:t>
            </w:r>
            <w:r>
              <w:rPr>
                <w:rFonts w:eastAsia="Times New Roman" w:cs="Times New Roman"/>
                <w:sz w:val="24"/>
                <w:lang w:eastAsia="fr-FR"/>
              </w:rPr>
              <w:t xml:space="preserve"> en SIC</w:t>
            </w:r>
          </w:p>
          <w:p w:rsidR="00A00BAA" w:rsidRPr="002D5221" w:rsidRDefault="00A00BAA" w:rsidP="00A00BAA">
            <w:pPr>
              <w:rPr>
                <w:rFonts w:eastAsia="Times New Roman" w:cs="Times New Roman"/>
                <w:sz w:val="24"/>
                <w:lang w:eastAsia="fr-FR"/>
              </w:rPr>
            </w:pPr>
          </w:p>
        </w:tc>
        <w:tc>
          <w:tcPr>
            <w:tcW w:w="2303" w:type="dxa"/>
            <w:shd w:val="clear" w:color="auto" w:fill="auto"/>
          </w:tcPr>
          <w:p w:rsidR="00A00BAA" w:rsidRDefault="00A00BAA" w:rsidP="00A00BAA">
            <w:pPr>
              <w:rPr>
                <w:rFonts w:eastAsia="Times New Roman" w:cs="Times New Roman"/>
                <w:sz w:val="24"/>
                <w:lang w:eastAsia="fr-FR"/>
              </w:rPr>
            </w:pPr>
            <w:r>
              <w:rPr>
                <w:rFonts w:eastAsia="Times New Roman" w:cs="Times New Roman"/>
                <w:sz w:val="24"/>
                <w:lang w:eastAsia="fr-FR"/>
              </w:rPr>
              <w:t xml:space="preserve">Me </w:t>
            </w:r>
            <w:r w:rsidRPr="00D753B9">
              <w:rPr>
                <w:rFonts w:eastAsia="Times New Roman" w:cs="Times New Roman"/>
                <w:sz w:val="24"/>
                <w:lang w:eastAsia="fr-FR"/>
              </w:rPr>
              <w:t>Servane</w:t>
            </w:r>
            <w:r w:rsidR="00D753B9">
              <w:rPr>
                <w:rFonts w:eastAsia="Times New Roman" w:cs="Times New Roman"/>
                <w:sz w:val="24"/>
                <w:lang w:eastAsia="fr-FR"/>
              </w:rPr>
              <w:t xml:space="preserve"> </w:t>
            </w:r>
            <w:proofErr w:type="spellStart"/>
            <w:r w:rsidR="00D753B9">
              <w:rPr>
                <w:rFonts w:eastAsia="Times New Roman" w:cs="Times New Roman"/>
                <w:sz w:val="24"/>
                <w:lang w:eastAsia="fr-FR"/>
              </w:rPr>
              <w:t>Roupnel</w:t>
            </w:r>
            <w:proofErr w:type="spellEnd"/>
          </w:p>
          <w:p w:rsidR="00A00BAA" w:rsidRPr="002D5221" w:rsidRDefault="00D753B9" w:rsidP="00A00BAA">
            <w:pPr>
              <w:rPr>
                <w:rFonts w:eastAsia="Times New Roman" w:cs="Times New Roman"/>
                <w:sz w:val="24"/>
                <w:lang w:eastAsia="fr-FR"/>
              </w:rPr>
            </w:pPr>
            <w:r>
              <w:rPr>
                <w:rFonts w:eastAsia="Times New Roman" w:cs="Times New Roman"/>
                <w:sz w:val="24"/>
                <w:lang w:eastAsia="fr-FR"/>
              </w:rPr>
              <w:t>S</w:t>
            </w:r>
            <w:r w:rsidR="00A00BAA">
              <w:rPr>
                <w:rFonts w:eastAsia="Times New Roman" w:cs="Times New Roman"/>
                <w:sz w:val="24"/>
                <w:lang w:eastAsia="fr-FR"/>
              </w:rPr>
              <w:t>tagiaire</w:t>
            </w:r>
            <w:r>
              <w:rPr>
                <w:rFonts w:eastAsia="Times New Roman" w:cs="Times New Roman"/>
                <w:sz w:val="24"/>
                <w:lang w:eastAsia="fr-FR"/>
              </w:rPr>
              <w:t>, sous la direction de Natacha Gagné</w:t>
            </w:r>
          </w:p>
        </w:tc>
        <w:tc>
          <w:tcPr>
            <w:tcW w:w="2303" w:type="dxa"/>
            <w:shd w:val="clear" w:color="auto" w:fill="auto"/>
          </w:tcPr>
          <w:p w:rsidR="00A00BAA" w:rsidRPr="002D5221" w:rsidRDefault="00A00BAA" w:rsidP="00A00BAA">
            <w:pPr>
              <w:rPr>
                <w:rFonts w:eastAsia="Times New Roman" w:cs="Times New Roman"/>
                <w:sz w:val="24"/>
                <w:lang w:eastAsia="fr-FR"/>
              </w:rPr>
            </w:pPr>
          </w:p>
        </w:tc>
      </w:tr>
    </w:tbl>
    <w:p w:rsidR="00A00BAA" w:rsidRPr="002D5221" w:rsidRDefault="00A00BAA" w:rsidP="00A00BAA">
      <w:pPr>
        <w:rPr>
          <w:rFonts w:eastAsia="Times New Roman" w:cs="Times New Roman"/>
          <w:sz w:val="24"/>
          <w:lang w:eastAsia="fr-FR"/>
        </w:rPr>
      </w:pPr>
    </w:p>
    <w:p w:rsidR="00E435E3" w:rsidRDefault="00E435E3" w:rsidP="00E435E3">
      <w:pPr>
        <w:pStyle w:val="Titre3"/>
        <w:rPr>
          <w:rFonts w:eastAsia="Times New Roman"/>
          <w:lang w:eastAsia="fr-FR"/>
        </w:rPr>
      </w:pPr>
      <w:bookmarkStart w:id="8" w:name="_Toc385923191"/>
      <w:r>
        <w:rPr>
          <w:rFonts w:eastAsia="Times New Roman"/>
          <w:lang w:eastAsia="fr-FR"/>
        </w:rPr>
        <w:lastRenderedPageBreak/>
        <w:t>32. Budget</w:t>
      </w:r>
      <w:bookmarkEnd w:id="8"/>
    </w:p>
    <w:p w:rsidR="00A00BAA" w:rsidRDefault="00A00BAA" w:rsidP="00A00BAA">
      <w:pPr>
        <w:rPr>
          <w:rFonts w:eastAsia="Times New Roman" w:cs="Times New Roman"/>
          <w:lang w:eastAsia="fr-FR"/>
        </w:rPr>
      </w:pPr>
      <w:r w:rsidRPr="00D753B9">
        <w:rPr>
          <w:rFonts w:eastAsia="Times New Roman" w:cs="Times New Roman"/>
          <w:lang w:eastAsia="fr-FR"/>
        </w:rPr>
        <w:t>Subvention Ministère de la culture</w:t>
      </w:r>
      <w:r w:rsidR="00D753B9" w:rsidRPr="00D753B9">
        <w:rPr>
          <w:rFonts w:eastAsia="Times New Roman" w:cs="Times New Roman"/>
          <w:lang w:eastAsia="fr-FR"/>
        </w:rPr>
        <w:t xml:space="preserve"> : </w:t>
      </w:r>
      <w:r w:rsidR="005E38A8">
        <w:rPr>
          <w:rFonts w:eastAsia="Times New Roman" w:cs="Times New Roman"/>
          <w:lang w:eastAsia="fr-FR"/>
        </w:rPr>
        <w:t xml:space="preserve">Etat estimatif, CREM </w:t>
      </w:r>
      <w:r w:rsidR="005B56E0">
        <w:rPr>
          <w:rFonts w:eastAsia="Times New Roman" w:cs="Times New Roman"/>
          <w:lang w:eastAsia="fr-FR"/>
        </w:rPr>
        <w:t>Avril 2014 (source : CREM, Alain Müller, responsable administratif et financier).</w:t>
      </w:r>
    </w:p>
    <w:tbl>
      <w:tblPr>
        <w:tblStyle w:val="Grilledutableau"/>
        <w:tblW w:w="0" w:type="auto"/>
        <w:tblLook w:val="04A0" w:firstRow="1" w:lastRow="0" w:firstColumn="1" w:lastColumn="0" w:noHBand="0" w:noVBand="1"/>
      </w:tblPr>
      <w:tblGrid>
        <w:gridCol w:w="1200"/>
        <w:gridCol w:w="2193"/>
        <w:gridCol w:w="1200"/>
        <w:gridCol w:w="1200"/>
        <w:gridCol w:w="1200"/>
      </w:tblGrid>
      <w:tr w:rsidR="005E38A8" w:rsidRPr="005E38A8" w:rsidTr="005B56E0">
        <w:trPr>
          <w:trHeight w:val="300"/>
        </w:trPr>
        <w:tc>
          <w:tcPr>
            <w:tcW w:w="1200" w:type="dxa"/>
            <w:shd w:val="clear" w:color="auto" w:fill="C6D9F1" w:themeFill="text2" w:themeFillTint="33"/>
            <w:noWrap/>
            <w:hideMark/>
          </w:tcPr>
          <w:p w:rsidR="005E38A8" w:rsidRPr="005E38A8" w:rsidRDefault="005E38A8">
            <w:pPr>
              <w:rPr>
                <w:rFonts w:eastAsia="Times New Roman" w:cs="Times New Roman"/>
                <w:lang w:eastAsia="fr-FR"/>
              </w:rPr>
            </w:pPr>
          </w:p>
        </w:tc>
        <w:tc>
          <w:tcPr>
            <w:tcW w:w="2193" w:type="dxa"/>
            <w:shd w:val="clear" w:color="auto" w:fill="C6D9F1" w:themeFill="text2" w:themeFillTint="33"/>
            <w:noWrap/>
            <w:hideMark/>
          </w:tcPr>
          <w:p w:rsidR="005E38A8" w:rsidRPr="005E38A8" w:rsidRDefault="005B56E0">
            <w:pPr>
              <w:rPr>
                <w:rFonts w:eastAsia="Times New Roman" w:cs="Times New Roman"/>
                <w:lang w:eastAsia="fr-FR"/>
              </w:rPr>
            </w:pPr>
            <w:r>
              <w:rPr>
                <w:rFonts w:eastAsia="Times New Roman" w:cs="Times New Roman"/>
                <w:lang w:eastAsia="fr-FR"/>
              </w:rPr>
              <w:t>Nature</w:t>
            </w:r>
          </w:p>
        </w:tc>
        <w:tc>
          <w:tcPr>
            <w:tcW w:w="1200" w:type="dxa"/>
            <w:shd w:val="clear" w:color="auto" w:fill="C6D9F1" w:themeFill="text2" w:themeFillTint="33"/>
            <w:noWrap/>
            <w:hideMark/>
          </w:tcPr>
          <w:p w:rsidR="005E38A8" w:rsidRPr="005E38A8" w:rsidRDefault="005E38A8">
            <w:pPr>
              <w:rPr>
                <w:rFonts w:eastAsia="Times New Roman" w:cs="Times New Roman"/>
                <w:lang w:eastAsia="fr-FR"/>
              </w:rPr>
            </w:pPr>
          </w:p>
        </w:tc>
        <w:tc>
          <w:tcPr>
            <w:tcW w:w="1200" w:type="dxa"/>
            <w:shd w:val="clear" w:color="auto" w:fill="C6D9F1" w:themeFill="text2" w:themeFillTint="33"/>
            <w:noWrap/>
            <w:hideMark/>
          </w:tcPr>
          <w:p w:rsidR="005E38A8" w:rsidRPr="005E38A8" w:rsidRDefault="005B56E0">
            <w:pPr>
              <w:rPr>
                <w:rFonts w:eastAsia="Times New Roman" w:cs="Times New Roman"/>
                <w:lang w:eastAsia="fr-FR"/>
              </w:rPr>
            </w:pPr>
            <w:r>
              <w:rPr>
                <w:rFonts w:eastAsia="Times New Roman" w:cs="Times New Roman"/>
                <w:lang w:eastAsia="fr-FR"/>
              </w:rPr>
              <w:t>Montant</w:t>
            </w:r>
          </w:p>
        </w:tc>
        <w:tc>
          <w:tcPr>
            <w:tcW w:w="1200" w:type="dxa"/>
            <w:shd w:val="clear" w:color="auto" w:fill="C6D9F1" w:themeFill="text2" w:themeFillTint="33"/>
            <w:noWrap/>
            <w:hideMark/>
          </w:tcPr>
          <w:p w:rsidR="005E38A8" w:rsidRPr="005E38A8" w:rsidRDefault="005E38A8">
            <w:pPr>
              <w:rPr>
                <w:rFonts w:eastAsia="Times New Roman" w:cs="Times New Roman"/>
                <w:lang w:eastAsia="fr-FR"/>
              </w:rPr>
            </w:pPr>
          </w:p>
        </w:tc>
      </w:tr>
      <w:tr w:rsidR="005E38A8" w:rsidRPr="005E38A8" w:rsidTr="005E38A8">
        <w:trPr>
          <w:trHeight w:val="300"/>
        </w:trPr>
        <w:tc>
          <w:tcPr>
            <w:tcW w:w="1200" w:type="dxa"/>
            <w:noWrap/>
            <w:hideMark/>
          </w:tcPr>
          <w:p w:rsidR="005E38A8" w:rsidRPr="005E38A8" w:rsidRDefault="005E38A8">
            <w:pPr>
              <w:rPr>
                <w:rFonts w:eastAsia="Times New Roman" w:cs="Times New Roman"/>
                <w:lang w:eastAsia="fr-FR"/>
              </w:rPr>
            </w:pPr>
          </w:p>
        </w:tc>
        <w:tc>
          <w:tcPr>
            <w:tcW w:w="2193" w:type="dxa"/>
            <w:noWrap/>
            <w:hideMark/>
          </w:tcPr>
          <w:p w:rsidR="005E38A8" w:rsidRPr="005E38A8" w:rsidRDefault="005E38A8">
            <w:pPr>
              <w:rPr>
                <w:rFonts w:eastAsia="Times New Roman" w:cs="Times New Roman"/>
                <w:b/>
                <w:bCs/>
                <w:lang w:eastAsia="fr-FR"/>
              </w:rPr>
            </w:pPr>
            <w:r w:rsidRPr="005E38A8">
              <w:rPr>
                <w:rFonts w:eastAsia="Times New Roman" w:cs="Times New Roman"/>
                <w:b/>
                <w:bCs/>
                <w:lang w:eastAsia="fr-FR"/>
              </w:rPr>
              <w:t>Billets Canada</w:t>
            </w:r>
          </w:p>
        </w:tc>
        <w:tc>
          <w:tcPr>
            <w:tcW w:w="1200" w:type="dxa"/>
            <w:noWrap/>
            <w:hideMark/>
          </w:tcPr>
          <w:p w:rsidR="005E38A8" w:rsidRPr="005E38A8" w:rsidRDefault="005E38A8">
            <w:pPr>
              <w:rPr>
                <w:rFonts w:eastAsia="Times New Roman" w:cs="Times New Roman"/>
                <w:b/>
                <w:bCs/>
                <w:lang w:eastAsia="fr-FR"/>
              </w:rPr>
            </w:pPr>
            <w:r w:rsidRPr="005E38A8">
              <w:rPr>
                <w:rFonts w:eastAsia="Times New Roman" w:cs="Times New Roman"/>
                <w:b/>
                <w:bCs/>
                <w:lang w:eastAsia="fr-FR"/>
              </w:rPr>
              <w:t> </w:t>
            </w:r>
          </w:p>
        </w:tc>
        <w:tc>
          <w:tcPr>
            <w:tcW w:w="1200" w:type="dxa"/>
            <w:noWrap/>
            <w:hideMark/>
          </w:tcPr>
          <w:p w:rsidR="005E38A8" w:rsidRPr="005E38A8" w:rsidRDefault="005E38A8" w:rsidP="005E38A8">
            <w:pPr>
              <w:rPr>
                <w:rFonts w:eastAsia="Times New Roman" w:cs="Times New Roman"/>
                <w:b/>
                <w:bCs/>
                <w:lang w:eastAsia="fr-FR"/>
              </w:rPr>
            </w:pPr>
            <w:r w:rsidRPr="005E38A8">
              <w:rPr>
                <w:rFonts w:eastAsia="Times New Roman" w:cs="Times New Roman"/>
                <w:b/>
                <w:bCs/>
                <w:lang w:eastAsia="fr-FR"/>
              </w:rPr>
              <w:t>1677,6</w:t>
            </w:r>
          </w:p>
        </w:tc>
        <w:tc>
          <w:tcPr>
            <w:tcW w:w="1200" w:type="dxa"/>
            <w:noWrap/>
            <w:hideMark/>
          </w:tcPr>
          <w:p w:rsidR="005E38A8" w:rsidRPr="005E38A8" w:rsidRDefault="005E38A8">
            <w:pPr>
              <w:rPr>
                <w:rFonts w:eastAsia="Times New Roman" w:cs="Times New Roman"/>
                <w:lang w:eastAsia="fr-FR"/>
              </w:rPr>
            </w:pPr>
          </w:p>
        </w:tc>
      </w:tr>
      <w:tr w:rsidR="005E38A8" w:rsidRPr="005E38A8" w:rsidTr="005E38A8">
        <w:trPr>
          <w:trHeight w:val="300"/>
        </w:trPr>
        <w:tc>
          <w:tcPr>
            <w:tcW w:w="1200" w:type="dxa"/>
            <w:noWrap/>
            <w:hideMark/>
          </w:tcPr>
          <w:p w:rsidR="005E38A8" w:rsidRPr="005E38A8" w:rsidRDefault="005E38A8">
            <w:pPr>
              <w:rPr>
                <w:rFonts w:eastAsia="Times New Roman" w:cs="Times New Roman"/>
                <w:lang w:eastAsia="fr-FR"/>
              </w:rPr>
            </w:pPr>
          </w:p>
        </w:tc>
        <w:tc>
          <w:tcPr>
            <w:tcW w:w="2193" w:type="dxa"/>
            <w:noWrap/>
            <w:hideMark/>
          </w:tcPr>
          <w:p w:rsidR="005E38A8" w:rsidRPr="005E38A8" w:rsidRDefault="005E38A8">
            <w:pPr>
              <w:rPr>
                <w:rFonts w:eastAsia="Times New Roman" w:cs="Times New Roman"/>
                <w:b/>
                <w:bCs/>
                <w:lang w:eastAsia="fr-FR"/>
              </w:rPr>
            </w:pPr>
            <w:r w:rsidRPr="005E38A8">
              <w:rPr>
                <w:rFonts w:eastAsia="Times New Roman" w:cs="Times New Roman"/>
                <w:b/>
                <w:bCs/>
                <w:lang w:eastAsia="fr-FR"/>
              </w:rPr>
              <w:t> </w:t>
            </w:r>
          </w:p>
        </w:tc>
        <w:tc>
          <w:tcPr>
            <w:tcW w:w="1200" w:type="dxa"/>
            <w:noWrap/>
            <w:hideMark/>
          </w:tcPr>
          <w:p w:rsidR="005E38A8" w:rsidRPr="005E38A8" w:rsidRDefault="005E38A8">
            <w:pPr>
              <w:rPr>
                <w:rFonts w:eastAsia="Times New Roman" w:cs="Times New Roman"/>
                <w:b/>
                <w:bCs/>
                <w:lang w:eastAsia="fr-FR"/>
              </w:rPr>
            </w:pPr>
            <w:r w:rsidRPr="005E38A8">
              <w:rPr>
                <w:rFonts w:eastAsia="Times New Roman" w:cs="Times New Roman"/>
                <w:b/>
                <w:bCs/>
                <w:lang w:eastAsia="fr-FR"/>
              </w:rPr>
              <w:t> </w:t>
            </w:r>
          </w:p>
        </w:tc>
        <w:tc>
          <w:tcPr>
            <w:tcW w:w="1200" w:type="dxa"/>
            <w:noWrap/>
            <w:hideMark/>
          </w:tcPr>
          <w:p w:rsidR="005E38A8" w:rsidRPr="005E38A8" w:rsidRDefault="005E38A8">
            <w:pPr>
              <w:rPr>
                <w:rFonts w:eastAsia="Times New Roman" w:cs="Times New Roman"/>
                <w:b/>
                <w:bCs/>
                <w:lang w:eastAsia="fr-FR"/>
              </w:rPr>
            </w:pPr>
            <w:r w:rsidRPr="005E38A8">
              <w:rPr>
                <w:rFonts w:eastAsia="Times New Roman" w:cs="Times New Roman"/>
                <w:b/>
                <w:bCs/>
                <w:lang w:eastAsia="fr-FR"/>
              </w:rPr>
              <w:t> </w:t>
            </w:r>
          </w:p>
        </w:tc>
        <w:tc>
          <w:tcPr>
            <w:tcW w:w="1200" w:type="dxa"/>
            <w:noWrap/>
            <w:hideMark/>
          </w:tcPr>
          <w:p w:rsidR="005E38A8" w:rsidRPr="005E38A8" w:rsidRDefault="005E38A8">
            <w:pPr>
              <w:rPr>
                <w:rFonts w:eastAsia="Times New Roman" w:cs="Times New Roman"/>
                <w:lang w:eastAsia="fr-FR"/>
              </w:rPr>
            </w:pPr>
          </w:p>
        </w:tc>
      </w:tr>
      <w:tr w:rsidR="005E38A8" w:rsidRPr="005E38A8" w:rsidTr="005E38A8">
        <w:trPr>
          <w:trHeight w:val="300"/>
        </w:trPr>
        <w:tc>
          <w:tcPr>
            <w:tcW w:w="1200" w:type="dxa"/>
            <w:noWrap/>
            <w:hideMark/>
          </w:tcPr>
          <w:p w:rsidR="005E38A8" w:rsidRPr="005E38A8" w:rsidRDefault="005E38A8">
            <w:pPr>
              <w:rPr>
                <w:rFonts w:eastAsia="Times New Roman" w:cs="Times New Roman"/>
                <w:lang w:eastAsia="fr-FR"/>
              </w:rPr>
            </w:pPr>
          </w:p>
        </w:tc>
        <w:tc>
          <w:tcPr>
            <w:tcW w:w="2193" w:type="dxa"/>
            <w:noWrap/>
            <w:hideMark/>
          </w:tcPr>
          <w:p w:rsidR="005E38A8" w:rsidRPr="005E38A8" w:rsidRDefault="005E38A8">
            <w:pPr>
              <w:rPr>
                <w:rFonts w:eastAsia="Times New Roman" w:cs="Times New Roman"/>
                <w:b/>
                <w:bCs/>
                <w:lang w:eastAsia="fr-FR"/>
              </w:rPr>
            </w:pPr>
            <w:r w:rsidRPr="005E38A8">
              <w:rPr>
                <w:rFonts w:eastAsia="Times New Roman" w:cs="Times New Roman"/>
                <w:b/>
                <w:bCs/>
                <w:lang w:eastAsia="fr-FR"/>
              </w:rPr>
              <w:t>Séjour (estimatif)</w:t>
            </w:r>
          </w:p>
        </w:tc>
        <w:tc>
          <w:tcPr>
            <w:tcW w:w="1200" w:type="dxa"/>
            <w:noWrap/>
            <w:hideMark/>
          </w:tcPr>
          <w:p w:rsidR="005E38A8" w:rsidRPr="005E38A8" w:rsidRDefault="005E38A8">
            <w:pPr>
              <w:rPr>
                <w:rFonts w:eastAsia="Times New Roman" w:cs="Times New Roman"/>
                <w:b/>
                <w:bCs/>
                <w:lang w:eastAsia="fr-FR"/>
              </w:rPr>
            </w:pPr>
            <w:r w:rsidRPr="005E38A8">
              <w:rPr>
                <w:rFonts w:eastAsia="Times New Roman" w:cs="Times New Roman"/>
                <w:b/>
                <w:bCs/>
                <w:lang w:eastAsia="fr-FR"/>
              </w:rPr>
              <w:t> </w:t>
            </w:r>
          </w:p>
        </w:tc>
        <w:tc>
          <w:tcPr>
            <w:tcW w:w="1200" w:type="dxa"/>
            <w:noWrap/>
            <w:hideMark/>
          </w:tcPr>
          <w:p w:rsidR="005E38A8" w:rsidRPr="005E38A8" w:rsidRDefault="005E38A8" w:rsidP="005E38A8">
            <w:pPr>
              <w:rPr>
                <w:rFonts w:eastAsia="Times New Roman" w:cs="Times New Roman"/>
                <w:b/>
                <w:bCs/>
                <w:lang w:eastAsia="fr-FR"/>
              </w:rPr>
            </w:pPr>
            <w:r w:rsidRPr="005E38A8">
              <w:rPr>
                <w:rFonts w:eastAsia="Times New Roman" w:cs="Times New Roman"/>
                <w:b/>
                <w:bCs/>
                <w:lang w:eastAsia="fr-FR"/>
              </w:rPr>
              <w:t>1200</w:t>
            </w:r>
          </w:p>
        </w:tc>
        <w:tc>
          <w:tcPr>
            <w:tcW w:w="1200" w:type="dxa"/>
            <w:noWrap/>
            <w:hideMark/>
          </w:tcPr>
          <w:p w:rsidR="005E38A8" w:rsidRPr="005E38A8" w:rsidRDefault="005E38A8">
            <w:pPr>
              <w:rPr>
                <w:rFonts w:eastAsia="Times New Roman" w:cs="Times New Roman"/>
                <w:lang w:eastAsia="fr-FR"/>
              </w:rPr>
            </w:pPr>
          </w:p>
        </w:tc>
      </w:tr>
      <w:tr w:rsidR="005E38A8" w:rsidRPr="005E38A8" w:rsidTr="005E38A8">
        <w:trPr>
          <w:trHeight w:val="300"/>
        </w:trPr>
        <w:tc>
          <w:tcPr>
            <w:tcW w:w="1200" w:type="dxa"/>
            <w:noWrap/>
            <w:hideMark/>
          </w:tcPr>
          <w:p w:rsidR="005E38A8" w:rsidRPr="005E38A8" w:rsidRDefault="005E38A8">
            <w:pPr>
              <w:rPr>
                <w:rFonts w:eastAsia="Times New Roman" w:cs="Times New Roman"/>
                <w:lang w:eastAsia="fr-FR"/>
              </w:rPr>
            </w:pPr>
          </w:p>
        </w:tc>
        <w:tc>
          <w:tcPr>
            <w:tcW w:w="2193" w:type="dxa"/>
            <w:noWrap/>
            <w:hideMark/>
          </w:tcPr>
          <w:p w:rsidR="005E38A8" w:rsidRPr="005E38A8" w:rsidRDefault="005E38A8">
            <w:pPr>
              <w:rPr>
                <w:rFonts w:eastAsia="Times New Roman" w:cs="Times New Roman"/>
                <w:b/>
                <w:bCs/>
                <w:lang w:eastAsia="fr-FR"/>
              </w:rPr>
            </w:pPr>
            <w:r w:rsidRPr="005E38A8">
              <w:rPr>
                <w:rFonts w:eastAsia="Times New Roman" w:cs="Times New Roman"/>
                <w:b/>
                <w:bCs/>
                <w:lang w:eastAsia="fr-FR"/>
              </w:rPr>
              <w:t> </w:t>
            </w:r>
          </w:p>
        </w:tc>
        <w:tc>
          <w:tcPr>
            <w:tcW w:w="1200" w:type="dxa"/>
            <w:noWrap/>
            <w:hideMark/>
          </w:tcPr>
          <w:p w:rsidR="005E38A8" w:rsidRPr="005E38A8" w:rsidRDefault="005E38A8">
            <w:pPr>
              <w:rPr>
                <w:rFonts w:eastAsia="Times New Roman" w:cs="Times New Roman"/>
                <w:b/>
                <w:bCs/>
                <w:lang w:eastAsia="fr-FR"/>
              </w:rPr>
            </w:pPr>
            <w:r w:rsidRPr="005E38A8">
              <w:rPr>
                <w:rFonts w:eastAsia="Times New Roman" w:cs="Times New Roman"/>
                <w:b/>
                <w:bCs/>
                <w:lang w:eastAsia="fr-FR"/>
              </w:rPr>
              <w:t> </w:t>
            </w:r>
          </w:p>
        </w:tc>
        <w:tc>
          <w:tcPr>
            <w:tcW w:w="1200" w:type="dxa"/>
            <w:noWrap/>
            <w:hideMark/>
          </w:tcPr>
          <w:p w:rsidR="005E38A8" w:rsidRPr="005E38A8" w:rsidRDefault="005E38A8">
            <w:pPr>
              <w:rPr>
                <w:rFonts w:eastAsia="Times New Roman" w:cs="Times New Roman"/>
                <w:b/>
                <w:bCs/>
                <w:lang w:eastAsia="fr-FR"/>
              </w:rPr>
            </w:pPr>
            <w:r w:rsidRPr="005E38A8">
              <w:rPr>
                <w:rFonts w:eastAsia="Times New Roman" w:cs="Times New Roman"/>
                <w:b/>
                <w:bCs/>
                <w:lang w:eastAsia="fr-FR"/>
              </w:rPr>
              <w:t> </w:t>
            </w:r>
          </w:p>
        </w:tc>
        <w:tc>
          <w:tcPr>
            <w:tcW w:w="1200" w:type="dxa"/>
            <w:noWrap/>
            <w:hideMark/>
          </w:tcPr>
          <w:p w:rsidR="005E38A8" w:rsidRPr="005E38A8" w:rsidRDefault="005E38A8">
            <w:pPr>
              <w:rPr>
                <w:rFonts w:eastAsia="Times New Roman" w:cs="Times New Roman"/>
                <w:lang w:eastAsia="fr-FR"/>
              </w:rPr>
            </w:pPr>
          </w:p>
        </w:tc>
      </w:tr>
      <w:tr w:rsidR="005E38A8" w:rsidRPr="005E38A8" w:rsidTr="005E38A8">
        <w:trPr>
          <w:trHeight w:val="300"/>
        </w:trPr>
        <w:tc>
          <w:tcPr>
            <w:tcW w:w="1200" w:type="dxa"/>
            <w:noWrap/>
            <w:hideMark/>
          </w:tcPr>
          <w:p w:rsidR="005E38A8" w:rsidRPr="005E38A8" w:rsidRDefault="005E38A8">
            <w:pPr>
              <w:rPr>
                <w:rFonts w:eastAsia="Times New Roman" w:cs="Times New Roman"/>
                <w:lang w:eastAsia="fr-FR"/>
              </w:rPr>
            </w:pPr>
          </w:p>
        </w:tc>
        <w:tc>
          <w:tcPr>
            <w:tcW w:w="2193" w:type="dxa"/>
            <w:noWrap/>
            <w:hideMark/>
          </w:tcPr>
          <w:p w:rsidR="005E38A8" w:rsidRPr="005E38A8" w:rsidRDefault="005E38A8">
            <w:pPr>
              <w:rPr>
                <w:rFonts w:eastAsia="Times New Roman" w:cs="Times New Roman"/>
                <w:b/>
                <w:bCs/>
                <w:lang w:eastAsia="fr-FR"/>
              </w:rPr>
            </w:pPr>
            <w:r w:rsidRPr="005E38A8">
              <w:rPr>
                <w:rFonts w:eastAsia="Times New Roman" w:cs="Times New Roman"/>
                <w:b/>
                <w:bCs/>
                <w:lang w:eastAsia="fr-FR"/>
              </w:rPr>
              <w:t>Presta</w:t>
            </w:r>
            <w:r>
              <w:rPr>
                <w:rFonts w:eastAsia="Times New Roman" w:cs="Times New Roman"/>
                <w:b/>
                <w:bCs/>
                <w:lang w:eastAsia="fr-FR"/>
              </w:rPr>
              <w:t>tion</w:t>
            </w:r>
            <w:r w:rsidRPr="005E38A8">
              <w:rPr>
                <w:rFonts w:eastAsia="Times New Roman" w:cs="Times New Roman"/>
                <w:b/>
                <w:bCs/>
                <w:lang w:eastAsia="fr-FR"/>
              </w:rPr>
              <w:t xml:space="preserve"> Roustan</w:t>
            </w:r>
          </w:p>
        </w:tc>
        <w:tc>
          <w:tcPr>
            <w:tcW w:w="1200" w:type="dxa"/>
            <w:noWrap/>
            <w:hideMark/>
          </w:tcPr>
          <w:p w:rsidR="005E38A8" w:rsidRPr="005E38A8" w:rsidRDefault="005E38A8">
            <w:pPr>
              <w:rPr>
                <w:rFonts w:eastAsia="Times New Roman" w:cs="Times New Roman"/>
                <w:b/>
                <w:bCs/>
                <w:lang w:eastAsia="fr-FR"/>
              </w:rPr>
            </w:pPr>
            <w:r w:rsidRPr="005E38A8">
              <w:rPr>
                <w:rFonts w:eastAsia="Times New Roman" w:cs="Times New Roman"/>
                <w:b/>
                <w:bCs/>
                <w:lang w:eastAsia="fr-FR"/>
              </w:rPr>
              <w:t> </w:t>
            </w:r>
          </w:p>
        </w:tc>
        <w:tc>
          <w:tcPr>
            <w:tcW w:w="1200" w:type="dxa"/>
            <w:noWrap/>
            <w:hideMark/>
          </w:tcPr>
          <w:p w:rsidR="005E38A8" w:rsidRPr="005E38A8" w:rsidRDefault="005E38A8" w:rsidP="005E38A8">
            <w:pPr>
              <w:rPr>
                <w:rFonts w:eastAsia="Times New Roman" w:cs="Times New Roman"/>
                <w:b/>
                <w:bCs/>
                <w:lang w:eastAsia="fr-FR"/>
              </w:rPr>
            </w:pPr>
            <w:r w:rsidRPr="005E38A8">
              <w:rPr>
                <w:rFonts w:eastAsia="Times New Roman" w:cs="Times New Roman"/>
                <w:b/>
                <w:bCs/>
                <w:lang w:eastAsia="fr-FR"/>
              </w:rPr>
              <w:t>3000</w:t>
            </w:r>
          </w:p>
        </w:tc>
        <w:tc>
          <w:tcPr>
            <w:tcW w:w="1200" w:type="dxa"/>
            <w:noWrap/>
            <w:hideMark/>
          </w:tcPr>
          <w:p w:rsidR="005E38A8" w:rsidRPr="005E38A8" w:rsidRDefault="005E38A8">
            <w:pPr>
              <w:rPr>
                <w:rFonts w:eastAsia="Times New Roman" w:cs="Times New Roman"/>
                <w:lang w:eastAsia="fr-FR"/>
              </w:rPr>
            </w:pPr>
          </w:p>
        </w:tc>
      </w:tr>
      <w:tr w:rsidR="005E38A8" w:rsidRPr="005E38A8" w:rsidTr="005E38A8">
        <w:trPr>
          <w:trHeight w:val="300"/>
        </w:trPr>
        <w:tc>
          <w:tcPr>
            <w:tcW w:w="1200" w:type="dxa"/>
            <w:noWrap/>
            <w:hideMark/>
          </w:tcPr>
          <w:p w:rsidR="005E38A8" w:rsidRPr="005E38A8" w:rsidRDefault="005E38A8">
            <w:pPr>
              <w:rPr>
                <w:rFonts w:eastAsia="Times New Roman" w:cs="Times New Roman"/>
                <w:lang w:eastAsia="fr-FR"/>
              </w:rPr>
            </w:pPr>
          </w:p>
        </w:tc>
        <w:tc>
          <w:tcPr>
            <w:tcW w:w="2193" w:type="dxa"/>
            <w:noWrap/>
            <w:hideMark/>
          </w:tcPr>
          <w:p w:rsidR="005E38A8" w:rsidRPr="005E38A8" w:rsidRDefault="005E38A8">
            <w:pPr>
              <w:rPr>
                <w:rFonts w:eastAsia="Times New Roman" w:cs="Times New Roman"/>
                <w:b/>
                <w:bCs/>
                <w:lang w:eastAsia="fr-FR"/>
              </w:rPr>
            </w:pPr>
            <w:r w:rsidRPr="005E38A8">
              <w:rPr>
                <w:rFonts w:eastAsia="Times New Roman" w:cs="Times New Roman"/>
                <w:b/>
                <w:bCs/>
                <w:lang w:eastAsia="fr-FR"/>
              </w:rPr>
              <w:t> </w:t>
            </w:r>
          </w:p>
        </w:tc>
        <w:tc>
          <w:tcPr>
            <w:tcW w:w="1200" w:type="dxa"/>
            <w:noWrap/>
            <w:hideMark/>
          </w:tcPr>
          <w:p w:rsidR="005E38A8" w:rsidRPr="005E38A8" w:rsidRDefault="005E38A8">
            <w:pPr>
              <w:rPr>
                <w:rFonts w:eastAsia="Times New Roman" w:cs="Times New Roman"/>
                <w:b/>
                <w:bCs/>
                <w:lang w:eastAsia="fr-FR"/>
              </w:rPr>
            </w:pPr>
            <w:r w:rsidRPr="005E38A8">
              <w:rPr>
                <w:rFonts w:eastAsia="Times New Roman" w:cs="Times New Roman"/>
                <w:b/>
                <w:bCs/>
                <w:lang w:eastAsia="fr-FR"/>
              </w:rPr>
              <w:t> </w:t>
            </w:r>
          </w:p>
        </w:tc>
        <w:tc>
          <w:tcPr>
            <w:tcW w:w="1200" w:type="dxa"/>
            <w:noWrap/>
            <w:hideMark/>
          </w:tcPr>
          <w:p w:rsidR="005E38A8" w:rsidRPr="005E38A8" w:rsidRDefault="005E38A8">
            <w:pPr>
              <w:rPr>
                <w:rFonts w:eastAsia="Times New Roman" w:cs="Times New Roman"/>
                <w:b/>
                <w:bCs/>
                <w:lang w:eastAsia="fr-FR"/>
              </w:rPr>
            </w:pPr>
            <w:r w:rsidRPr="005E38A8">
              <w:rPr>
                <w:rFonts w:eastAsia="Times New Roman" w:cs="Times New Roman"/>
                <w:b/>
                <w:bCs/>
                <w:lang w:eastAsia="fr-FR"/>
              </w:rPr>
              <w:t> </w:t>
            </w:r>
          </w:p>
        </w:tc>
        <w:tc>
          <w:tcPr>
            <w:tcW w:w="1200" w:type="dxa"/>
            <w:noWrap/>
            <w:hideMark/>
          </w:tcPr>
          <w:p w:rsidR="005E38A8" w:rsidRPr="005E38A8" w:rsidRDefault="005E38A8">
            <w:pPr>
              <w:rPr>
                <w:rFonts w:eastAsia="Times New Roman" w:cs="Times New Roman"/>
                <w:lang w:eastAsia="fr-FR"/>
              </w:rPr>
            </w:pPr>
          </w:p>
        </w:tc>
      </w:tr>
      <w:tr w:rsidR="005E38A8" w:rsidRPr="005E38A8" w:rsidTr="005E38A8">
        <w:trPr>
          <w:trHeight w:val="300"/>
        </w:trPr>
        <w:tc>
          <w:tcPr>
            <w:tcW w:w="1200" w:type="dxa"/>
            <w:noWrap/>
            <w:hideMark/>
          </w:tcPr>
          <w:p w:rsidR="005E38A8" w:rsidRPr="005E38A8" w:rsidRDefault="005E38A8">
            <w:pPr>
              <w:rPr>
                <w:rFonts w:eastAsia="Times New Roman" w:cs="Times New Roman"/>
                <w:lang w:eastAsia="fr-FR"/>
              </w:rPr>
            </w:pPr>
          </w:p>
        </w:tc>
        <w:tc>
          <w:tcPr>
            <w:tcW w:w="2193" w:type="dxa"/>
            <w:noWrap/>
            <w:hideMark/>
          </w:tcPr>
          <w:p w:rsidR="005E38A8" w:rsidRPr="005E38A8" w:rsidRDefault="005E38A8">
            <w:pPr>
              <w:rPr>
                <w:rFonts w:eastAsia="Times New Roman" w:cs="Times New Roman"/>
                <w:b/>
                <w:bCs/>
                <w:lang w:eastAsia="fr-FR"/>
              </w:rPr>
            </w:pPr>
            <w:r w:rsidRPr="005E38A8">
              <w:rPr>
                <w:rFonts w:eastAsia="Times New Roman" w:cs="Times New Roman"/>
                <w:b/>
                <w:bCs/>
                <w:lang w:eastAsia="fr-FR"/>
              </w:rPr>
              <w:t>Retranscriptions faites</w:t>
            </w:r>
          </w:p>
        </w:tc>
        <w:tc>
          <w:tcPr>
            <w:tcW w:w="1200" w:type="dxa"/>
            <w:noWrap/>
            <w:hideMark/>
          </w:tcPr>
          <w:p w:rsidR="005E38A8" w:rsidRPr="005E38A8" w:rsidRDefault="005E38A8">
            <w:pPr>
              <w:rPr>
                <w:rFonts w:eastAsia="Times New Roman" w:cs="Times New Roman"/>
                <w:b/>
                <w:bCs/>
                <w:lang w:eastAsia="fr-FR"/>
              </w:rPr>
            </w:pPr>
            <w:r w:rsidRPr="005E38A8">
              <w:rPr>
                <w:rFonts w:eastAsia="Times New Roman" w:cs="Times New Roman"/>
                <w:b/>
                <w:bCs/>
                <w:lang w:eastAsia="fr-FR"/>
              </w:rPr>
              <w:t> </w:t>
            </w:r>
          </w:p>
        </w:tc>
        <w:tc>
          <w:tcPr>
            <w:tcW w:w="1200" w:type="dxa"/>
            <w:noWrap/>
            <w:hideMark/>
          </w:tcPr>
          <w:p w:rsidR="005E38A8" w:rsidRPr="005E38A8" w:rsidRDefault="005E38A8" w:rsidP="005E38A8">
            <w:pPr>
              <w:rPr>
                <w:rFonts w:eastAsia="Times New Roman" w:cs="Times New Roman"/>
                <w:b/>
                <w:bCs/>
                <w:lang w:eastAsia="fr-FR"/>
              </w:rPr>
            </w:pPr>
            <w:r w:rsidRPr="005E38A8">
              <w:rPr>
                <w:rFonts w:eastAsia="Times New Roman" w:cs="Times New Roman"/>
                <w:b/>
                <w:bCs/>
                <w:lang w:eastAsia="fr-FR"/>
              </w:rPr>
              <w:t>3000</w:t>
            </w:r>
          </w:p>
        </w:tc>
        <w:tc>
          <w:tcPr>
            <w:tcW w:w="1200" w:type="dxa"/>
            <w:noWrap/>
            <w:hideMark/>
          </w:tcPr>
          <w:p w:rsidR="005E38A8" w:rsidRPr="005E38A8" w:rsidRDefault="005E38A8">
            <w:pPr>
              <w:rPr>
                <w:rFonts w:eastAsia="Times New Roman" w:cs="Times New Roman"/>
                <w:lang w:eastAsia="fr-FR"/>
              </w:rPr>
            </w:pPr>
          </w:p>
        </w:tc>
      </w:tr>
      <w:tr w:rsidR="005E38A8" w:rsidRPr="005E38A8" w:rsidTr="005E38A8">
        <w:trPr>
          <w:trHeight w:val="300"/>
        </w:trPr>
        <w:tc>
          <w:tcPr>
            <w:tcW w:w="1200" w:type="dxa"/>
            <w:noWrap/>
            <w:hideMark/>
          </w:tcPr>
          <w:p w:rsidR="005E38A8" w:rsidRPr="005E38A8" w:rsidRDefault="005E38A8">
            <w:pPr>
              <w:rPr>
                <w:rFonts w:eastAsia="Times New Roman" w:cs="Times New Roman"/>
                <w:lang w:eastAsia="fr-FR"/>
              </w:rPr>
            </w:pPr>
          </w:p>
        </w:tc>
        <w:tc>
          <w:tcPr>
            <w:tcW w:w="2193" w:type="dxa"/>
            <w:noWrap/>
            <w:hideMark/>
          </w:tcPr>
          <w:p w:rsidR="005E38A8" w:rsidRPr="005E38A8" w:rsidRDefault="005E38A8">
            <w:pPr>
              <w:rPr>
                <w:rFonts w:eastAsia="Times New Roman" w:cs="Times New Roman"/>
                <w:b/>
                <w:bCs/>
                <w:lang w:eastAsia="fr-FR"/>
              </w:rPr>
            </w:pPr>
            <w:r w:rsidRPr="005E38A8">
              <w:rPr>
                <w:rFonts w:eastAsia="Times New Roman" w:cs="Times New Roman"/>
                <w:b/>
                <w:bCs/>
                <w:lang w:eastAsia="fr-FR"/>
              </w:rPr>
              <w:t> </w:t>
            </w:r>
          </w:p>
        </w:tc>
        <w:tc>
          <w:tcPr>
            <w:tcW w:w="1200" w:type="dxa"/>
            <w:noWrap/>
            <w:hideMark/>
          </w:tcPr>
          <w:p w:rsidR="005E38A8" w:rsidRPr="005E38A8" w:rsidRDefault="005E38A8">
            <w:pPr>
              <w:rPr>
                <w:rFonts w:eastAsia="Times New Roman" w:cs="Times New Roman"/>
                <w:b/>
                <w:bCs/>
                <w:lang w:eastAsia="fr-FR"/>
              </w:rPr>
            </w:pPr>
            <w:r w:rsidRPr="005E38A8">
              <w:rPr>
                <w:rFonts w:eastAsia="Times New Roman" w:cs="Times New Roman"/>
                <w:b/>
                <w:bCs/>
                <w:lang w:eastAsia="fr-FR"/>
              </w:rPr>
              <w:t> </w:t>
            </w:r>
          </w:p>
        </w:tc>
        <w:tc>
          <w:tcPr>
            <w:tcW w:w="1200" w:type="dxa"/>
            <w:noWrap/>
            <w:hideMark/>
          </w:tcPr>
          <w:p w:rsidR="005E38A8" w:rsidRPr="005E38A8" w:rsidRDefault="005E38A8">
            <w:pPr>
              <w:rPr>
                <w:rFonts w:eastAsia="Times New Roman" w:cs="Times New Roman"/>
                <w:b/>
                <w:bCs/>
                <w:lang w:eastAsia="fr-FR"/>
              </w:rPr>
            </w:pPr>
            <w:r w:rsidRPr="005E38A8">
              <w:rPr>
                <w:rFonts w:eastAsia="Times New Roman" w:cs="Times New Roman"/>
                <w:b/>
                <w:bCs/>
                <w:lang w:eastAsia="fr-FR"/>
              </w:rPr>
              <w:t> </w:t>
            </w:r>
          </w:p>
        </w:tc>
        <w:tc>
          <w:tcPr>
            <w:tcW w:w="1200" w:type="dxa"/>
            <w:noWrap/>
            <w:hideMark/>
          </w:tcPr>
          <w:p w:rsidR="005E38A8" w:rsidRPr="005E38A8" w:rsidRDefault="005E38A8">
            <w:pPr>
              <w:rPr>
                <w:rFonts w:eastAsia="Times New Roman" w:cs="Times New Roman"/>
                <w:lang w:eastAsia="fr-FR"/>
              </w:rPr>
            </w:pPr>
          </w:p>
        </w:tc>
      </w:tr>
      <w:tr w:rsidR="005E38A8" w:rsidRPr="005E38A8" w:rsidTr="005E38A8">
        <w:trPr>
          <w:trHeight w:val="300"/>
        </w:trPr>
        <w:tc>
          <w:tcPr>
            <w:tcW w:w="1200" w:type="dxa"/>
            <w:noWrap/>
            <w:hideMark/>
          </w:tcPr>
          <w:p w:rsidR="005E38A8" w:rsidRPr="005E38A8" w:rsidRDefault="005E38A8">
            <w:pPr>
              <w:rPr>
                <w:rFonts w:eastAsia="Times New Roman" w:cs="Times New Roman"/>
                <w:lang w:eastAsia="fr-FR"/>
              </w:rPr>
            </w:pPr>
          </w:p>
        </w:tc>
        <w:tc>
          <w:tcPr>
            <w:tcW w:w="2193" w:type="dxa"/>
            <w:noWrap/>
            <w:hideMark/>
          </w:tcPr>
          <w:p w:rsidR="005E38A8" w:rsidRPr="005E38A8" w:rsidRDefault="005E38A8">
            <w:pPr>
              <w:rPr>
                <w:rFonts w:eastAsia="Times New Roman" w:cs="Times New Roman"/>
                <w:b/>
                <w:bCs/>
                <w:lang w:eastAsia="fr-FR"/>
              </w:rPr>
            </w:pPr>
            <w:r w:rsidRPr="005E38A8">
              <w:rPr>
                <w:rFonts w:eastAsia="Times New Roman" w:cs="Times New Roman"/>
                <w:b/>
                <w:bCs/>
                <w:lang w:eastAsia="fr-FR"/>
              </w:rPr>
              <w:t>Pays bas</w:t>
            </w:r>
          </w:p>
        </w:tc>
        <w:tc>
          <w:tcPr>
            <w:tcW w:w="1200" w:type="dxa"/>
            <w:noWrap/>
            <w:hideMark/>
          </w:tcPr>
          <w:p w:rsidR="005E38A8" w:rsidRPr="005E38A8" w:rsidRDefault="005E38A8">
            <w:pPr>
              <w:rPr>
                <w:rFonts w:eastAsia="Times New Roman" w:cs="Times New Roman"/>
                <w:b/>
                <w:bCs/>
                <w:lang w:eastAsia="fr-FR"/>
              </w:rPr>
            </w:pPr>
            <w:r w:rsidRPr="005E38A8">
              <w:rPr>
                <w:rFonts w:eastAsia="Times New Roman" w:cs="Times New Roman"/>
                <w:b/>
                <w:bCs/>
                <w:lang w:eastAsia="fr-FR"/>
              </w:rPr>
              <w:t> </w:t>
            </w:r>
          </w:p>
        </w:tc>
        <w:tc>
          <w:tcPr>
            <w:tcW w:w="1200" w:type="dxa"/>
            <w:noWrap/>
            <w:hideMark/>
          </w:tcPr>
          <w:p w:rsidR="005E38A8" w:rsidRPr="005E38A8" w:rsidRDefault="005E38A8" w:rsidP="005E38A8">
            <w:pPr>
              <w:rPr>
                <w:rFonts w:eastAsia="Times New Roman" w:cs="Times New Roman"/>
                <w:b/>
                <w:bCs/>
                <w:lang w:eastAsia="fr-FR"/>
              </w:rPr>
            </w:pPr>
            <w:r w:rsidRPr="005E38A8">
              <w:rPr>
                <w:rFonts w:eastAsia="Times New Roman" w:cs="Times New Roman"/>
                <w:b/>
                <w:bCs/>
                <w:lang w:eastAsia="fr-FR"/>
              </w:rPr>
              <w:t>300</w:t>
            </w:r>
          </w:p>
        </w:tc>
        <w:tc>
          <w:tcPr>
            <w:tcW w:w="1200" w:type="dxa"/>
            <w:noWrap/>
            <w:hideMark/>
          </w:tcPr>
          <w:p w:rsidR="005E38A8" w:rsidRPr="005E38A8" w:rsidRDefault="005E38A8">
            <w:pPr>
              <w:rPr>
                <w:rFonts w:eastAsia="Times New Roman" w:cs="Times New Roman"/>
                <w:lang w:eastAsia="fr-FR"/>
              </w:rPr>
            </w:pPr>
          </w:p>
        </w:tc>
      </w:tr>
      <w:tr w:rsidR="005E38A8" w:rsidRPr="005E38A8" w:rsidTr="005E38A8">
        <w:trPr>
          <w:trHeight w:val="300"/>
        </w:trPr>
        <w:tc>
          <w:tcPr>
            <w:tcW w:w="1200" w:type="dxa"/>
            <w:noWrap/>
            <w:hideMark/>
          </w:tcPr>
          <w:p w:rsidR="005E38A8" w:rsidRPr="005E38A8" w:rsidRDefault="005E38A8">
            <w:pPr>
              <w:rPr>
                <w:rFonts w:eastAsia="Times New Roman" w:cs="Times New Roman"/>
                <w:lang w:eastAsia="fr-FR"/>
              </w:rPr>
            </w:pPr>
          </w:p>
        </w:tc>
        <w:tc>
          <w:tcPr>
            <w:tcW w:w="2193" w:type="dxa"/>
            <w:noWrap/>
            <w:hideMark/>
          </w:tcPr>
          <w:p w:rsidR="005E38A8" w:rsidRPr="005E38A8" w:rsidRDefault="005E38A8">
            <w:pPr>
              <w:rPr>
                <w:rFonts w:eastAsia="Times New Roman" w:cs="Times New Roman"/>
                <w:b/>
                <w:bCs/>
                <w:lang w:eastAsia="fr-FR"/>
              </w:rPr>
            </w:pPr>
            <w:r w:rsidRPr="005E38A8">
              <w:rPr>
                <w:rFonts w:eastAsia="Times New Roman" w:cs="Times New Roman"/>
                <w:b/>
                <w:bCs/>
                <w:lang w:eastAsia="fr-FR"/>
              </w:rPr>
              <w:t>(estimatif)</w:t>
            </w:r>
          </w:p>
        </w:tc>
        <w:tc>
          <w:tcPr>
            <w:tcW w:w="1200" w:type="dxa"/>
            <w:noWrap/>
            <w:hideMark/>
          </w:tcPr>
          <w:p w:rsidR="005E38A8" w:rsidRPr="005E38A8" w:rsidRDefault="005E38A8">
            <w:pPr>
              <w:rPr>
                <w:rFonts w:eastAsia="Times New Roman" w:cs="Times New Roman"/>
                <w:b/>
                <w:bCs/>
                <w:lang w:eastAsia="fr-FR"/>
              </w:rPr>
            </w:pPr>
            <w:r w:rsidRPr="005E38A8">
              <w:rPr>
                <w:rFonts w:eastAsia="Times New Roman" w:cs="Times New Roman"/>
                <w:b/>
                <w:bCs/>
                <w:lang w:eastAsia="fr-FR"/>
              </w:rPr>
              <w:t> </w:t>
            </w:r>
          </w:p>
        </w:tc>
        <w:tc>
          <w:tcPr>
            <w:tcW w:w="1200" w:type="dxa"/>
            <w:noWrap/>
            <w:hideMark/>
          </w:tcPr>
          <w:p w:rsidR="005E38A8" w:rsidRPr="005E38A8" w:rsidRDefault="005E38A8">
            <w:pPr>
              <w:rPr>
                <w:rFonts w:eastAsia="Times New Roman" w:cs="Times New Roman"/>
                <w:b/>
                <w:bCs/>
                <w:lang w:eastAsia="fr-FR"/>
              </w:rPr>
            </w:pPr>
            <w:r w:rsidRPr="005E38A8">
              <w:rPr>
                <w:rFonts w:eastAsia="Times New Roman" w:cs="Times New Roman"/>
                <w:b/>
                <w:bCs/>
                <w:lang w:eastAsia="fr-FR"/>
              </w:rPr>
              <w:t> </w:t>
            </w:r>
          </w:p>
        </w:tc>
        <w:tc>
          <w:tcPr>
            <w:tcW w:w="1200" w:type="dxa"/>
            <w:noWrap/>
            <w:hideMark/>
          </w:tcPr>
          <w:p w:rsidR="005E38A8" w:rsidRPr="005E38A8" w:rsidRDefault="005E38A8">
            <w:pPr>
              <w:rPr>
                <w:rFonts w:eastAsia="Times New Roman" w:cs="Times New Roman"/>
                <w:lang w:eastAsia="fr-FR"/>
              </w:rPr>
            </w:pPr>
          </w:p>
        </w:tc>
      </w:tr>
      <w:tr w:rsidR="005E38A8" w:rsidRPr="005E38A8" w:rsidTr="005E38A8">
        <w:trPr>
          <w:trHeight w:val="300"/>
        </w:trPr>
        <w:tc>
          <w:tcPr>
            <w:tcW w:w="1200" w:type="dxa"/>
            <w:noWrap/>
            <w:hideMark/>
          </w:tcPr>
          <w:p w:rsidR="005E38A8" w:rsidRPr="005E38A8" w:rsidRDefault="005E38A8">
            <w:pPr>
              <w:rPr>
                <w:rFonts w:eastAsia="Times New Roman" w:cs="Times New Roman"/>
                <w:lang w:eastAsia="fr-FR"/>
              </w:rPr>
            </w:pPr>
          </w:p>
        </w:tc>
        <w:tc>
          <w:tcPr>
            <w:tcW w:w="2193" w:type="dxa"/>
            <w:noWrap/>
            <w:hideMark/>
          </w:tcPr>
          <w:p w:rsidR="005E38A8" w:rsidRPr="005E38A8" w:rsidRDefault="005E38A8">
            <w:pPr>
              <w:rPr>
                <w:rFonts w:eastAsia="Times New Roman" w:cs="Times New Roman"/>
                <w:b/>
                <w:bCs/>
                <w:lang w:eastAsia="fr-FR"/>
              </w:rPr>
            </w:pPr>
            <w:r w:rsidRPr="005E38A8">
              <w:rPr>
                <w:rFonts w:eastAsia="Times New Roman" w:cs="Times New Roman"/>
                <w:b/>
                <w:bCs/>
                <w:lang w:eastAsia="fr-FR"/>
              </w:rPr>
              <w:t> </w:t>
            </w:r>
          </w:p>
        </w:tc>
        <w:tc>
          <w:tcPr>
            <w:tcW w:w="1200" w:type="dxa"/>
            <w:noWrap/>
            <w:hideMark/>
          </w:tcPr>
          <w:p w:rsidR="005E38A8" w:rsidRPr="005E38A8" w:rsidRDefault="005E38A8">
            <w:pPr>
              <w:rPr>
                <w:rFonts w:eastAsia="Times New Roman" w:cs="Times New Roman"/>
                <w:b/>
                <w:bCs/>
                <w:lang w:eastAsia="fr-FR"/>
              </w:rPr>
            </w:pPr>
            <w:r w:rsidRPr="005E38A8">
              <w:rPr>
                <w:rFonts w:eastAsia="Times New Roman" w:cs="Times New Roman"/>
                <w:b/>
                <w:bCs/>
                <w:lang w:eastAsia="fr-FR"/>
              </w:rPr>
              <w:t> </w:t>
            </w:r>
          </w:p>
        </w:tc>
        <w:tc>
          <w:tcPr>
            <w:tcW w:w="1200" w:type="dxa"/>
            <w:noWrap/>
            <w:hideMark/>
          </w:tcPr>
          <w:p w:rsidR="005E38A8" w:rsidRPr="005E38A8" w:rsidRDefault="005E38A8">
            <w:pPr>
              <w:rPr>
                <w:rFonts w:eastAsia="Times New Roman" w:cs="Times New Roman"/>
                <w:b/>
                <w:bCs/>
                <w:lang w:eastAsia="fr-FR"/>
              </w:rPr>
            </w:pPr>
            <w:r w:rsidRPr="005E38A8">
              <w:rPr>
                <w:rFonts w:eastAsia="Times New Roman" w:cs="Times New Roman"/>
                <w:b/>
                <w:bCs/>
                <w:lang w:eastAsia="fr-FR"/>
              </w:rPr>
              <w:t> </w:t>
            </w:r>
          </w:p>
        </w:tc>
        <w:tc>
          <w:tcPr>
            <w:tcW w:w="1200" w:type="dxa"/>
            <w:noWrap/>
            <w:hideMark/>
          </w:tcPr>
          <w:p w:rsidR="005E38A8" w:rsidRPr="005E38A8" w:rsidRDefault="005E38A8">
            <w:pPr>
              <w:rPr>
                <w:rFonts w:eastAsia="Times New Roman" w:cs="Times New Roman"/>
                <w:lang w:eastAsia="fr-FR"/>
              </w:rPr>
            </w:pPr>
          </w:p>
        </w:tc>
      </w:tr>
      <w:tr w:rsidR="005E38A8" w:rsidRPr="005E38A8" w:rsidTr="005E38A8">
        <w:trPr>
          <w:trHeight w:val="300"/>
        </w:trPr>
        <w:tc>
          <w:tcPr>
            <w:tcW w:w="1200" w:type="dxa"/>
            <w:noWrap/>
            <w:hideMark/>
          </w:tcPr>
          <w:p w:rsidR="005E38A8" w:rsidRPr="005E38A8" w:rsidRDefault="005E38A8">
            <w:pPr>
              <w:rPr>
                <w:rFonts w:eastAsia="Times New Roman" w:cs="Times New Roman"/>
                <w:lang w:eastAsia="fr-FR"/>
              </w:rPr>
            </w:pPr>
          </w:p>
        </w:tc>
        <w:tc>
          <w:tcPr>
            <w:tcW w:w="2193" w:type="dxa"/>
            <w:noWrap/>
            <w:hideMark/>
          </w:tcPr>
          <w:p w:rsidR="005E38A8" w:rsidRPr="005E38A8" w:rsidRDefault="005E38A8">
            <w:pPr>
              <w:rPr>
                <w:rFonts w:eastAsia="Times New Roman" w:cs="Times New Roman"/>
                <w:b/>
                <w:bCs/>
                <w:lang w:eastAsia="fr-FR"/>
              </w:rPr>
            </w:pPr>
            <w:r w:rsidRPr="005E38A8">
              <w:rPr>
                <w:rFonts w:eastAsia="Times New Roman" w:cs="Times New Roman"/>
                <w:b/>
                <w:bCs/>
                <w:lang w:eastAsia="fr-FR"/>
              </w:rPr>
              <w:t>Retranscription Québec</w:t>
            </w:r>
          </w:p>
        </w:tc>
        <w:tc>
          <w:tcPr>
            <w:tcW w:w="1200" w:type="dxa"/>
            <w:noWrap/>
            <w:hideMark/>
          </w:tcPr>
          <w:p w:rsidR="005E38A8" w:rsidRPr="005E38A8" w:rsidRDefault="005E38A8">
            <w:pPr>
              <w:rPr>
                <w:rFonts w:eastAsia="Times New Roman" w:cs="Times New Roman"/>
                <w:b/>
                <w:bCs/>
                <w:lang w:eastAsia="fr-FR"/>
              </w:rPr>
            </w:pPr>
            <w:r w:rsidRPr="005E38A8">
              <w:rPr>
                <w:rFonts w:eastAsia="Times New Roman" w:cs="Times New Roman"/>
                <w:b/>
                <w:bCs/>
                <w:lang w:eastAsia="fr-FR"/>
              </w:rPr>
              <w:t> </w:t>
            </w:r>
          </w:p>
        </w:tc>
        <w:tc>
          <w:tcPr>
            <w:tcW w:w="1200" w:type="dxa"/>
            <w:noWrap/>
            <w:hideMark/>
          </w:tcPr>
          <w:p w:rsidR="005E38A8" w:rsidRPr="005E38A8" w:rsidRDefault="005E38A8" w:rsidP="005E38A8">
            <w:pPr>
              <w:rPr>
                <w:rFonts w:eastAsia="Times New Roman" w:cs="Times New Roman"/>
                <w:b/>
                <w:bCs/>
                <w:lang w:eastAsia="fr-FR"/>
              </w:rPr>
            </w:pPr>
            <w:r w:rsidRPr="005E38A8">
              <w:rPr>
                <w:rFonts w:eastAsia="Times New Roman" w:cs="Times New Roman"/>
                <w:b/>
                <w:bCs/>
                <w:lang w:eastAsia="fr-FR"/>
              </w:rPr>
              <w:t>3000</w:t>
            </w:r>
          </w:p>
        </w:tc>
        <w:tc>
          <w:tcPr>
            <w:tcW w:w="1200" w:type="dxa"/>
            <w:noWrap/>
            <w:hideMark/>
          </w:tcPr>
          <w:p w:rsidR="005E38A8" w:rsidRPr="005E38A8" w:rsidRDefault="005E38A8">
            <w:pPr>
              <w:rPr>
                <w:rFonts w:eastAsia="Times New Roman" w:cs="Times New Roman"/>
                <w:lang w:eastAsia="fr-FR"/>
              </w:rPr>
            </w:pPr>
          </w:p>
        </w:tc>
      </w:tr>
      <w:tr w:rsidR="005E38A8" w:rsidRPr="005E38A8" w:rsidTr="005E38A8">
        <w:trPr>
          <w:trHeight w:val="300"/>
        </w:trPr>
        <w:tc>
          <w:tcPr>
            <w:tcW w:w="1200" w:type="dxa"/>
            <w:noWrap/>
            <w:hideMark/>
          </w:tcPr>
          <w:p w:rsidR="005E38A8" w:rsidRPr="005E38A8" w:rsidRDefault="005E38A8">
            <w:pPr>
              <w:rPr>
                <w:rFonts w:eastAsia="Times New Roman" w:cs="Times New Roman"/>
                <w:lang w:eastAsia="fr-FR"/>
              </w:rPr>
            </w:pPr>
          </w:p>
        </w:tc>
        <w:tc>
          <w:tcPr>
            <w:tcW w:w="2193" w:type="dxa"/>
            <w:noWrap/>
            <w:hideMark/>
          </w:tcPr>
          <w:p w:rsidR="005E38A8" w:rsidRPr="005E38A8" w:rsidRDefault="005E38A8">
            <w:pPr>
              <w:rPr>
                <w:rFonts w:eastAsia="Times New Roman" w:cs="Times New Roman"/>
                <w:b/>
                <w:bCs/>
                <w:lang w:eastAsia="fr-FR"/>
              </w:rPr>
            </w:pPr>
            <w:r w:rsidRPr="005E38A8">
              <w:rPr>
                <w:rFonts w:eastAsia="Times New Roman" w:cs="Times New Roman"/>
                <w:b/>
                <w:bCs/>
                <w:lang w:eastAsia="fr-FR"/>
              </w:rPr>
              <w:t>(estimatif)</w:t>
            </w:r>
          </w:p>
        </w:tc>
        <w:tc>
          <w:tcPr>
            <w:tcW w:w="1200" w:type="dxa"/>
            <w:noWrap/>
            <w:hideMark/>
          </w:tcPr>
          <w:p w:rsidR="005E38A8" w:rsidRPr="005E38A8" w:rsidRDefault="005E38A8">
            <w:pPr>
              <w:rPr>
                <w:rFonts w:eastAsia="Times New Roman" w:cs="Times New Roman"/>
                <w:b/>
                <w:bCs/>
                <w:lang w:eastAsia="fr-FR"/>
              </w:rPr>
            </w:pPr>
            <w:r w:rsidRPr="005E38A8">
              <w:rPr>
                <w:rFonts w:eastAsia="Times New Roman" w:cs="Times New Roman"/>
                <w:b/>
                <w:bCs/>
                <w:lang w:eastAsia="fr-FR"/>
              </w:rPr>
              <w:t> </w:t>
            </w:r>
          </w:p>
        </w:tc>
        <w:tc>
          <w:tcPr>
            <w:tcW w:w="1200" w:type="dxa"/>
            <w:noWrap/>
            <w:hideMark/>
          </w:tcPr>
          <w:p w:rsidR="005E38A8" w:rsidRPr="005E38A8" w:rsidRDefault="005E38A8">
            <w:pPr>
              <w:rPr>
                <w:rFonts w:eastAsia="Times New Roman" w:cs="Times New Roman"/>
                <w:b/>
                <w:bCs/>
                <w:lang w:eastAsia="fr-FR"/>
              </w:rPr>
            </w:pPr>
            <w:r w:rsidRPr="005E38A8">
              <w:rPr>
                <w:rFonts w:eastAsia="Times New Roman" w:cs="Times New Roman"/>
                <w:b/>
                <w:bCs/>
                <w:lang w:eastAsia="fr-FR"/>
              </w:rPr>
              <w:t> </w:t>
            </w:r>
          </w:p>
        </w:tc>
        <w:tc>
          <w:tcPr>
            <w:tcW w:w="1200" w:type="dxa"/>
            <w:noWrap/>
            <w:hideMark/>
          </w:tcPr>
          <w:p w:rsidR="005E38A8" w:rsidRPr="005E38A8" w:rsidRDefault="005E38A8">
            <w:pPr>
              <w:rPr>
                <w:rFonts w:eastAsia="Times New Roman" w:cs="Times New Roman"/>
                <w:lang w:eastAsia="fr-FR"/>
              </w:rPr>
            </w:pPr>
          </w:p>
        </w:tc>
      </w:tr>
      <w:tr w:rsidR="005E38A8" w:rsidRPr="005E38A8" w:rsidTr="005E38A8">
        <w:trPr>
          <w:trHeight w:val="300"/>
        </w:trPr>
        <w:tc>
          <w:tcPr>
            <w:tcW w:w="1200" w:type="dxa"/>
            <w:noWrap/>
            <w:hideMark/>
          </w:tcPr>
          <w:p w:rsidR="005E38A8" w:rsidRPr="005E38A8" w:rsidRDefault="005E38A8">
            <w:pPr>
              <w:rPr>
                <w:rFonts w:eastAsia="Times New Roman" w:cs="Times New Roman"/>
                <w:lang w:eastAsia="fr-FR"/>
              </w:rPr>
            </w:pPr>
          </w:p>
        </w:tc>
        <w:tc>
          <w:tcPr>
            <w:tcW w:w="2193" w:type="dxa"/>
            <w:noWrap/>
            <w:hideMark/>
          </w:tcPr>
          <w:p w:rsidR="005E38A8" w:rsidRPr="005E38A8" w:rsidRDefault="005E38A8">
            <w:pPr>
              <w:rPr>
                <w:rFonts w:eastAsia="Times New Roman" w:cs="Times New Roman"/>
                <w:b/>
                <w:bCs/>
                <w:lang w:eastAsia="fr-FR"/>
              </w:rPr>
            </w:pPr>
            <w:r w:rsidRPr="005E38A8">
              <w:rPr>
                <w:rFonts w:eastAsia="Times New Roman" w:cs="Times New Roman"/>
                <w:b/>
                <w:bCs/>
                <w:lang w:eastAsia="fr-FR"/>
              </w:rPr>
              <w:t>Total "engagé"</w:t>
            </w:r>
          </w:p>
        </w:tc>
        <w:tc>
          <w:tcPr>
            <w:tcW w:w="1200" w:type="dxa"/>
            <w:noWrap/>
            <w:hideMark/>
          </w:tcPr>
          <w:p w:rsidR="005E38A8" w:rsidRPr="005E38A8" w:rsidRDefault="005E38A8">
            <w:pPr>
              <w:rPr>
                <w:rFonts w:eastAsia="Times New Roman" w:cs="Times New Roman"/>
                <w:b/>
                <w:bCs/>
                <w:lang w:eastAsia="fr-FR"/>
              </w:rPr>
            </w:pPr>
            <w:r w:rsidRPr="005E38A8">
              <w:rPr>
                <w:rFonts w:eastAsia="Times New Roman" w:cs="Times New Roman"/>
                <w:b/>
                <w:bCs/>
                <w:lang w:eastAsia="fr-FR"/>
              </w:rPr>
              <w:t> </w:t>
            </w:r>
          </w:p>
        </w:tc>
        <w:tc>
          <w:tcPr>
            <w:tcW w:w="1200" w:type="dxa"/>
            <w:noWrap/>
            <w:hideMark/>
          </w:tcPr>
          <w:p w:rsidR="005E38A8" w:rsidRPr="005E38A8" w:rsidRDefault="005E38A8" w:rsidP="005E38A8">
            <w:pPr>
              <w:rPr>
                <w:rFonts w:eastAsia="Times New Roman" w:cs="Times New Roman"/>
                <w:b/>
                <w:bCs/>
                <w:lang w:eastAsia="fr-FR"/>
              </w:rPr>
            </w:pPr>
            <w:r w:rsidRPr="005E38A8">
              <w:rPr>
                <w:rFonts w:eastAsia="Times New Roman" w:cs="Times New Roman"/>
                <w:b/>
                <w:bCs/>
                <w:lang w:eastAsia="fr-FR"/>
              </w:rPr>
              <w:t>12177,6</w:t>
            </w:r>
          </w:p>
        </w:tc>
        <w:tc>
          <w:tcPr>
            <w:tcW w:w="1200" w:type="dxa"/>
            <w:noWrap/>
            <w:hideMark/>
          </w:tcPr>
          <w:p w:rsidR="005E38A8" w:rsidRPr="005E38A8" w:rsidRDefault="005E38A8">
            <w:pPr>
              <w:rPr>
                <w:rFonts w:eastAsia="Times New Roman" w:cs="Times New Roman"/>
                <w:lang w:eastAsia="fr-FR"/>
              </w:rPr>
            </w:pPr>
          </w:p>
        </w:tc>
      </w:tr>
      <w:tr w:rsidR="005E38A8" w:rsidRPr="005E38A8" w:rsidTr="005E38A8">
        <w:trPr>
          <w:trHeight w:val="300"/>
        </w:trPr>
        <w:tc>
          <w:tcPr>
            <w:tcW w:w="1200" w:type="dxa"/>
            <w:noWrap/>
            <w:hideMark/>
          </w:tcPr>
          <w:p w:rsidR="005E38A8" w:rsidRPr="005E38A8" w:rsidRDefault="005E38A8">
            <w:pPr>
              <w:rPr>
                <w:rFonts w:eastAsia="Times New Roman" w:cs="Times New Roman"/>
                <w:lang w:eastAsia="fr-FR"/>
              </w:rPr>
            </w:pPr>
          </w:p>
        </w:tc>
        <w:tc>
          <w:tcPr>
            <w:tcW w:w="2193" w:type="dxa"/>
            <w:noWrap/>
            <w:hideMark/>
          </w:tcPr>
          <w:p w:rsidR="005E38A8" w:rsidRPr="005E38A8" w:rsidRDefault="005E38A8">
            <w:pPr>
              <w:rPr>
                <w:rFonts w:eastAsia="Times New Roman" w:cs="Times New Roman"/>
                <w:b/>
                <w:bCs/>
                <w:lang w:eastAsia="fr-FR"/>
              </w:rPr>
            </w:pPr>
            <w:r w:rsidRPr="005E38A8">
              <w:rPr>
                <w:rFonts w:eastAsia="Times New Roman" w:cs="Times New Roman"/>
                <w:b/>
                <w:bCs/>
                <w:lang w:eastAsia="fr-FR"/>
              </w:rPr>
              <w:t> </w:t>
            </w:r>
          </w:p>
        </w:tc>
        <w:tc>
          <w:tcPr>
            <w:tcW w:w="1200" w:type="dxa"/>
            <w:noWrap/>
            <w:hideMark/>
          </w:tcPr>
          <w:p w:rsidR="005E38A8" w:rsidRPr="005E38A8" w:rsidRDefault="005E38A8">
            <w:pPr>
              <w:rPr>
                <w:rFonts w:eastAsia="Times New Roman" w:cs="Times New Roman"/>
                <w:b/>
                <w:bCs/>
                <w:lang w:eastAsia="fr-FR"/>
              </w:rPr>
            </w:pPr>
            <w:r w:rsidRPr="005E38A8">
              <w:rPr>
                <w:rFonts w:eastAsia="Times New Roman" w:cs="Times New Roman"/>
                <w:b/>
                <w:bCs/>
                <w:lang w:eastAsia="fr-FR"/>
              </w:rPr>
              <w:t> </w:t>
            </w:r>
          </w:p>
        </w:tc>
        <w:tc>
          <w:tcPr>
            <w:tcW w:w="1200" w:type="dxa"/>
            <w:noWrap/>
            <w:hideMark/>
          </w:tcPr>
          <w:p w:rsidR="005E38A8" w:rsidRPr="005E38A8" w:rsidRDefault="005E38A8">
            <w:pPr>
              <w:rPr>
                <w:rFonts w:eastAsia="Times New Roman" w:cs="Times New Roman"/>
                <w:b/>
                <w:bCs/>
                <w:lang w:eastAsia="fr-FR"/>
              </w:rPr>
            </w:pPr>
            <w:r w:rsidRPr="005E38A8">
              <w:rPr>
                <w:rFonts w:eastAsia="Times New Roman" w:cs="Times New Roman"/>
                <w:b/>
                <w:bCs/>
                <w:lang w:eastAsia="fr-FR"/>
              </w:rPr>
              <w:t> </w:t>
            </w:r>
          </w:p>
        </w:tc>
        <w:tc>
          <w:tcPr>
            <w:tcW w:w="1200" w:type="dxa"/>
            <w:noWrap/>
            <w:hideMark/>
          </w:tcPr>
          <w:p w:rsidR="005E38A8" w:rsidRPr="005E38A8" w:rsidRDefault="005E38A8">
            <w:pPr>
              <w:rPr>
                <w:rFonts w:eastAsia="Times New Roman" w:cs="Times New Roman"/>
                <w:lang w:eastAsia="fr-FR"/>
              </w:rPr>
            </w:pPr>
          </w:p>
        </w:tc>
      </w:tr>
      <w:tr w:rsidR="005E38A8" w:rsidRPr="005E38A8" w:rsidTr="005E38A8">
        <w:trPr>
          <w:trHeight w:val="300"/>
        </w:trPr>
        <w:tc>
          <w:tcPr>
            <w:tcW w:w="1200" w:type="dxa"/>
            <w:noWrap/>
            <w:hideMark/>
          </w:tcPr>
          <w:p w:rsidR="005E38A8" w:rsidRPr="005E38A8" w:rsidRDefault="005E38A8">
            <w:pPr>
              <w:rPr>
                <w:rFonts w:eastAsia="Times New Roman" w:cs="Times New Roman"/>
                <w:lang w:eastAsia="fr-FR"/>
              </w:rPr>
            </w:pPr>
          </w:p>
        </w:tc>
        <w:tc>
          <w:tcPr>
            <w:tcW w:w="2193" w:type="dxa"/>
            <w:noWrap/>
            <w:hideMark/>
          </w:tcPr>
          <w:p w:rsidR="005E38A8" w:rsidRPr="005E38A8" w:rsidRDefault="005E38A8">
            <w:pPr>
              <w:rPr>
                <w:rFonts w:eastAsia="Times New Roman" w:cs="Times New Roman"/>
                <w:b/>
                <w:bCs/>
                <w:lang w:eastAsia="fr-FR"/>
              </w:rPr>
            </w:pPr>
            <w:r w:rsidRPr="005E38A8">
              <w:rPr>
                <w:rFonts w:eastAsia="Times New Roman" w:cs="Times New Roman"/>
                <w:b/>
                <w:bCs/>
                <w:lang w:eastAsia="fr-FR"/>
              </w:rPr>
              <w:t>Financement MIN</w:t>
            </w:r>
          </w:p>
        </w:tc>
        <w:tc>
          <w:tcPr>
            <w:tcW w:w="1200" w:type="dxa"/>
            <w:noWrap/>
            <w:hideMark/>
          </w:tcPr>
          <w:p w:rsidR="005E38A8" w:rsidRPr="005E38A8" w:rsidRDefault="005E38A8">
            <w:pPr>
              <w:rPr>
                <w:rFonts w:eastAsia="Times New Roman" w:cs="Times New Roman"/>
                <w:b/>
                <w:bCs/>
                <w:lang w:eastAsia="fr-FR"/>
              </w:rPr>
            </w:pPr>
            <w:r w:rsidRPr="005E38A8">
              <w:rPr>
                <w:rFonts w:eastAsia="Times New Roman" w:cs="Times New Roman"/>
                <w:b/>
                <w:bCs/>
                <w:lang w:eastAsia="fr-FR"/>
              </w:rPr>
              <w:t> </w:t>
            </w:r>
          </w:p>
        </w:tc>
        <w:tc>
          <w:tcPr>
            <w:tcW w:w="1200" w:type="dxa"/>
            <w:noWrap/>
            <w:hideMark/>
          </w:tcPr>
          <w:p w:rsidR="005E38A8" w:rsidRPr="005E38A8" w:rsidRDefault="005E38A8" w:rsidP="005E38A8">
            <w:pPr>
              <w:rPr>
                <w:rFonts w:eastAsia="Times New Roman" w:cs="Times New Roman"/>
                <w:b/>
                <w:bCs/>
                <w:lang w:eastAsia="fr-FR"/>
              </w:rPr>
            </w:pPr>
            <w:r w:rsidRPr="005E38A8">
              <w:rPr>
                <w:rFonts w:eastAsia="Times New Roman" w:cs="Times New Roman"/>
                <w:b/>
                <w:bCs/>
                <w:lang w:eastAsia="fr-FR"/>
              </w:rPr>
              <w:t>12172</w:t>
            </w:r>
          </w:p>
        </w:tc>
        <w:tc>
          <w:tcPr>
            <w:tcW w:w="1200" w:type="dxa"/>
            <w:noWrap/>
            <w:hideMark/>
          </w:tcPr>
          <w:p w:rsidR="005E38A8" w:rsidRPr="005E38A8" w:rsidRDefault="005E38A8">
            <w:pPr>
              <w:rPr>
                <w:rFonts w:eastAsia="Times New Roman" w:cs="Times New Roman"/>
                <w:lang w:eastAsia="fr-FR"/>
              </w:rPr>
            </w:pPr>
          </w:p>
        </w:tc>
      </w:tr>
      <w:tr w:rsidR="005E38A8" w:rsidRPr="005E38A8" w:rsidTr="005E38A8">
        <w:trPr>
          <w:trHeight w:val="300"/>
        </w:trPr>
        <w:tc>
          <w:tcPr>
            <w:tcW w:w="1200" w:type="dxa"/>
            <w:noWrap/>
            <w:hideMark/>
          </w:tcPr>
          <w:p w:rsidR="005E38A8" w:rsidRPr="005E38A8" w:rsidRDefault="005E38A8">
            <w:pPr>
              <w:rPr>
                <w:rFonts w:eastAsia="Times New Roman" w:cs="Times New Roman"/>
                <w:lang w:eastAsia="fr-FR"/>
              </w:rPr>
            </w:pPr>
          </w:p>
        </w:tc>
        <w:tc>
          <w:tcPr>
            <w:tcW w:w="2193" w:type="dxa"/>
            <w:noWrap/>
            <w:hideMark/>
          </w:tcPr>
          <w:p w:rsidR="005E38A8" w:rsidRPr="005E38A8" w:rsidRDefault="005E38A8">
            <w:pPr>
              <w:rPr>
                <w:rFonts w:eastAsia="Times New Roman" w:cs="Times New Roman"/>
                <w:b/>
                <w:bCs/>
                <w:lang w:eastAsia="fr-FR"/>
              </w:rPr>
            </w:pPr>
            <w:r w:rsidRPr="005E38A8">
              <w:rPr>
                <w:rFonts w:eastAsia="Times New Roman" w:cs="Times New Roman"/>
                <w:b/>
                <w:bCs/>
                <w:lang w:eastAsia="fr-FR"/>
              </w:rPr>
              <w:t> </w:t>
            </w:r>
          </w:p>
        </w:tc>
        <w:tc>
          <w:tcPr>
            <w:tcW w:w="1200" w:type="dxa"/>
            <w:noWrap/>
            <w:hideMark/>
          </w:tcPr>
          <w:p w:rsidR="005E38A8" w:rsidRPr="005E38A8" w:rsidRDefault="005E38A8">
            <w:pPr>
              <w:rPr>
                <w:rFonts w:eastAsia="Times New Roman" w:cs="Times New Roman"/>
                <w:b/>
                <w:bCs/>
                <w:lang w:eastAsia="fr-FR"/>
              </w:rPr>
            </w:pPr>
            <w:r w:rsidRPr="005E38A8">
              <w:rPr>
                <w:rFonts w:eastAsia="Times New Roman" w:cs="Times New Roman"/>
                <w:b/>
                <w:bCs/>
                <w:lang w:eastAsia="fr-FR"/>
              </w:rPr>
              <w:t> </w:t>
            </w:r>
          </w:p>
        </w:tc>
        <w:tc>
          <w:tcPr>
            <w:tcW w:w="1200" w:type="dxa"/>
            <w:noWrap/>
            <w:hideMark/>
          </w:tcPr>
          <w:p w:rsidR="005E38A8" w:rsidRPr="005E38A8" w:rsidRDefault="005E38A8">
            <w:pPr>
              <w:rPr>
                <w:rFonts w:eastAsia="Times New Roman" w:cs="Times New Roman"/>
                <w:b/>
                <w:bCs/>
                <w:lang w:eastAsia="fr-FR"/>
              </w:rPr>
            </w:pPr>
            <w:r w:rsidRPr="005E38A8">
              <w:rPr>
                <w:rFonts w:eastAsia="Times New Roman" w:cs="Times New Roman"/>
                <w:b/>
                <w:bCs/>
                <w:lang w:eastAsia="fr-FR"/>
              </w:rPr>
              <w:t> </w:t>
            </w:r>
          </w:p>
        </w:tc>
        <w:tc>
          <w:tcPr>
            <w:tcW w:w="1200" w:type="dxa"/>
            <w:noWrap/>
            <w:hideMark/>
          </w:tcPr>
          <w:p w:rsidR="005E38A8" w:rsidRPr="005E38A8" w:rsidRDefault="005E38A8">
            <w:pPr>
              <w:rPr>
                <w:rFonts w:eastAsia="Times New Roman" w:cs="Times New Roman"/>
                <w:lang w:eastAsia="fr-FR"/>
              </w:rPr>
            </w:pPr>
          </w:p>
        </w:tc>
      </w:tr>
      <w:tr w:rsidR="005E38A8" w:rsidRPr="005E38A8" w:rsidTr="005E38A8">
        <w:trPr>
          <w:trHeight w:val="300"/>
        </w:trPr>
        <w:tc>
          <w:tcPr>
            <w:tcW w:w="1200" w:type="dxa"/>
            <w:noWrap/>
            <w:hideMark/>
          </w:tcPr>
          <w:p w:rsidR="005E38A8" w:rsidRPr="005E38A8" w:rsidRDefault="005E38A8">
            <w:pPr>
              <w:rPr>
                <w:rFonts w:eastAsia="Times New Roman" w:cs="Times New Roman"/>
                <w:lang w:eastAsia="fr-FR"/>
              </w:rPr>
            </w:pPr>
          </w:p>
        </w:tc>
        <w:tc>
          <w:tcPr>
            <w:tcW w:w="2193" w:type="dxa"/>
            <w:noWrap/>
            <w:hideMark/>
          </w:tcPr>
          <w:p w:rsidR="005E38A8" w:rsidRPr="005E38A8" w:rsidRDefault="005E38A8">
            <w:pPr>
              <w:rPr>
                <w:rFonts w:eastAsia="Times New Roman" w:cs="Times New Roman"/>
                <w:b/>
                <w:bCs/>
                <w:lang w:eastAsia="fr-FR"/>
              </w:rPr>
            </w:pPr>
            <w:r w:rsidRPr="005E38A8">
              <w:rPr>
                <w:rFonts w:eastAsia="Times New Roman" w:cs="Times New Roman"/>
                <w:b/>
                <w:bCs/>
                <w:lang w:eastAsia="fr-FR"/>
              </w:rPr>
              <w:t>Solde</w:t>
            </w:r>
          </w:p>
        </w:tc>
        <w:tc>
          <w:tcPr>
            <w:tcW w:w="1200" w:type="dxa"/>
            <w:noWrap/>
            <w:hideMark/>
          </w:tcPr>
          <w:p w:rsidR="005E38A8" w:rsidRPr="005E38A8" w:rsidRDefault="005E38A8">
            <w:pPr>
              <w:rPr>
                <w:rFonts w:eastAsia="Times New Roman" w:cs="Times New Roman"/>
                <w:b/>
                <w:bCs/>
                <w:lang w:eastAsia="fr-FR"/>
              </w:rPr>
            </w:pPr>
            <w:r w:rsidRPr="005E38A8">
              <w:rPr>
                <w:rFonts w:eastAsia="Times New Roman" w:cs="Times New Roman"/>
                <w:b/>
                <w:bCs/>
                <w:lang w:eastAsia="fr-FR"/>
              </w:rPr>
              <w:t> </w:t>
            </w:r>
          </w:p>
        </w:tc>
        <w:tc>
          <w:tcPr>
            <w:tcW w:w="1200" w:type="dxa"/>
            <w:noWrap/>
            <w:hideMark/>
          </w:tcPr>
          <w:p w:rsidR="005E38A8" w:rsidRPr="005E38A8" w:rsidRDefault="005E38A8" w:rsidP="005E38A8">
            <w:pPr>
              <w:rPr>
                <w:rFonts w:eastAsia="Times New Roman" w:cs="Times New Roman"/>
                <w:b/>
                <w:bCs/>
                <w:lang w:eastAsia="fr-FR"/>
              </w:rPr>
            </w:pPr>
            <w:r w:rsidRPr="005E38A8">
              <w:rPr>
                <w:rFonts w:eastAsia="Times New Roman" w:cs="Times New Roman"/>
                <w:b/>
                <w:bCs/>
                <w:lang w:eastAsia="fr-FR"/>
              </w:rPr>
              <w:t>-5,6</w:t>
            </w:r>
          </w:p>
        </w:tc>
        <w:tc>
          <w:tcPr>
            <w:tcW w:w="1200" w:type="dxa"/>
            <w:noWrap/>
            <w:hideMark/>
          </w:tcPr>
          <w:p w:rsidR="005E38A8" w:rsidRPr="005E38A8" w:rsidRDefault="005E38A8">
            <w:pPr>
              <w:rPr>
                <w:rFonts w:eastAsia="Times New Roman" w:cs="Times New Roman"/>
                <w:lang w:eastAsia="fr-FR"/>
              </w:rPr>
            </w:pPr>
          </w:p>
        </w:tc>
      </w:tr>
      <w:tr w:rsidR="005E38A8" w:rsidRPr="005E38A8" w:rsidTr="005E38A8">
        <w:trPr>
          <w:trHeight w:val="300"/>
        </w:trPr>
        <w:tc>
          <w:tcPr>
            <w:tcW w:w="1200" w:type="dxa"/>
            <w:noWrap/>
            <w:hideMark/>
          </w:tcPr>
          <w:p w:rsidR="005E38A8" w:rsidRPr="005E38A8" w:rsidRDefault="005E38A8">
            <w:pPr>
              <w:rPr>
                <w:rFonts w:eastAsia="Times New Roman" w:cs="Times New Roman"/>
                <w:lang w:eastAsia="fr-FR"/>
              </w:rPr>
            </w:pPr>
          </w:p>
        </w:tc>
        <w:tc>
          <w:tcPr>
            <w:tcW w:w="2193" w:type="dxa"/>
            <w:noWrap/>
            <w:hideMark/>
          </w:tcPr>
          <w:p w:rsidR="005E38A8" w:rsidRPr="005E38A8" w:rsidRDefault="005E38A8">
            <w:pPr>
              <w:rPr>
                <w:rFonts w:eastAsia="Times New Roman" w:cs="Times New Roman"/>
                <w:lang w:eastAsia="fr-FR"/>
              </w:rPr>
            </w:pPr>
          </w:p>
        </w:tc>
        <w:tc>
          <w:tcPr>
            <w:tcW w:w="1200" w:type="dxa"/>
            <w:noWrap/>
            <w:hideMark/>
          </w:tcPr>
          <w:p w:rsidR="005E38A8" w:rsidRPr="005E38A8" w:rsidRDefault="005E38A8">
            <w:pPr>
              <w:rPr>
                <w:rFonts w:eastAsia="Times New Roman" w:cs="Times New Roman"/>
                <w:lang w:eastAsia="fr-FR"/>
              </w:rPr>
            </w:pPr>
          </w:p>
        </w:tc>
        <w:tc>
          <w:tcPr>
            <w:tcW w:w="1200" w:type="dxa"/>
            <w:noWrap/>
            <w:hideMark/>
          </w:tcPr>
          <w:p w:rsidR="005E38A8" w:rsidRPr="005E38A8" w:rsidRDefault="005E38A8">
            <w:pPr>
              <w:rPr>
                <w:rFonts w:eastAsia="Times New Roman" w:cs="Times New Roman"/>
                <w:lang w:eastAsia="fr-FR"/>
              </w:rPr>
            </w:pPr>
          </w:p>
        </w:tc>
        <w:tc>
          <w:tcPr>
            <w:tcW w:w="1200" w:type="dxa"/>
            <w:noWrap/>
            <w:hideMark/>
          </w:tcPr>
          <w:p w:rsidR="005E38A8" w:rsidRPr="005E38A8" w:rsidRDefault="005E38A8">
            <w:pPr>
              <w:rPr>
                <w:rFonts w:eastAsia="Times New Roman" w:cs="Times New Roman"/>
                <w:lang w:eastAsia="fr-FR"/>
              </w:rPr>
            </w:pPr>
          </w:p>
        </w:tc>
      </w:tr>
    </w:tbl>
    <w:p w:rsidR="005E38A8" w:rsidRDefault="005E38A8" w:rsidP="00A00BAA">
      <w:pPr>
        <w:rPr>
          <w:rFonts w:eastAsia="Times New Roman" w:cs="Times New Roman"/>
          <w:lang w:eastAsia="fr-FR"/>
        </w:rPr>
      </w:pPr>
    </w:p>
    <w:p w:rsidR="005E38A8" w:rsidRPr="00E435E3" w:rsidRDefault="005E38A8" w:rsidP="00A00BAA">
      <w:pPr>
        <w:rPr>
          <w:rFonts w:eastAsia="Times New Roman" w:cs="Times New Roman"/>
          <w:lang w:eastAsia="fr-FR"/>
        </w:rPr>
      </w:pPr>
      <w:r>
        <w:rPr>
          <w:rFonts w:eastAsia="Times New Roman" w:cs="Times New Roman"/>
          <w:lang w:eastAsia="fr-FR"/>
        </w:rPr>
        <w:t xml:space="preserve">Pour l’état définitif, le </w:t>
      </w:r>
      <w:r w:rsidRPr="00D753B9">
        <w:rPr>
          <w:rFonts w:eastAsia="Times New Roman" w:cs="Times New Roman"/>
          <w:lang w:eastAsia="fr-FR"/>
        </w:rPr>
        <w:t>CREM</w:t>
      </w:r>
      <w:r>
        <w:rPr>
          <w:rFonts w:eastAsia="Times New Roman" w:cs="Times New Roman"/>
          <w:lang w:eastAsia="fr-FR"/>
        </w:rPr>
        <w:t xml:space="preserve"> transmet</w:t>
      </w:r>
      <w:r w:rsidR="005B56E0">
        <w:rPr>
          <w:rFonts w:eastAsia="Times New Roman" w:cs="Times New Roman"/>
          <w:lang w:eastAsia="fr-FR"/>
        </w:rPr>
        <w:t>tra</w:t>
      </w:r>
      <w:r>
        <w:rPr>
          <w:rFonts w:eastAsia="Times New Roman" w:cs="Times New Roman"/>
          <w:lang w:eastAsia="fr-FR"/>
        </w:rPr>
        <w:t xml:space="preserve"> un Etat final à réception du Rapport.</w:t>
      </w:r>
    </w:p>
    <w:p w:rsidR="00052826" w:rsidRDefault="00052826" w:rsidP="00A00BAA">
      <w:pPr>
        <w:shd w:val="clear" w:color="auto" w:fill="FFFFFF"/>
        <w:spacing w:after="0" w:line="240" w:lineRule="auto"/>
        <w:rPr>
          <w:lang w:eastAsia="fr-FR"/>
        </w:rPr>
      </w:pPr>
      <w:r>
        <w:rPr>
          <w:lang w:eastAsia="fr-FR"/>
        </w:rPr>
        <w:t>Le projet a bénéficié  de financements complémentaires</w:t>
      </w:r>
      <w:r w:rsidR="00D753B9">
        <w:rPr>
          <w:lang w:eastAsia="fr-FR"/>
        </w:rPr>
        <w:t> :</w:t>
      </w:r>
    </w:p>
    <w:p w:rsidR="00052826" w:rsidRDefault="00052826" w:rsidP="00A00BAA">
      <w:pPr>
        <w:shd w:val="clear" w:color="auto" w:fill="FFFFFF"/>
        <w:spacing w:after="0" w:line="240" w:lineRule="auto"/>
        <w:rPr>
          <w:lang w:eastAsia="fr-FR"/>
        </w:rPr>
      </w:pPr>
    </w:p>
    <w:p w:rsidR="001E0CBE" w:rsidRDefault="00CC11A2" w:rsidP="00A00BAA">
      <w:pPr>
        <w:shd w:val="clear" w:color="auto" w:fill="FFFFFF"/>
        <w:spacing w:after="0" w:line="240" w:lineRule="auto"/>
        <w:rPr>
          <w:lang w:eastAsia="fr-FR"/>
        </w:rPr>
      </w:pPr>
      <w:r>
        <w:rPr>
          <w:lang w:eastAsia="fr-FR"/>
        </w:rPr>
        <w:t>L’</w:t>
      </w:r>
      <w:r w:rsidR="00052826">
        <w:rPr>
          <w:lang w:eastAsia="fr-FR"/>
        </w:rPr>
        <w:t>Unive</w:t>
      </w:r>
      <w:r>
        <w:rPr>
          <w:lang w:eastAsia="fr-FR"/>
        </w:rPr>
        <w:t>rsité de Victoria, Wellingto</w:t>
      </w:r>
      <w:r w:rsidR="00E435E3">
        <w:rPr>
          <w:lang w:eastAsia="fr-FR"/>
        </w:rPr>
        <w:t>n a</w:t>
      </w:r>
      <w:r>
        <w:rPr>
          <w:lang w:eastAsia="fr-FR"/>
        </w:rPr>
        <w:t>ssumé la p</w:t>
      </w:r>
      <w:r w:rsidR="00052826">
        <w:rPr>
          <w:lang w:eastAsia="fr-FR"/>
        </w:rPr>
        <w:t>rise en charge du déplacement de Lee Davidson à Québec en  Novembre 2013</w:t>
      </w:r>
      <w:r>
        <w:rPr>
          <w:lang w:eastAsia="fr-FR"/>
        </w:rPr>
        <w:t>. Lee Davidson a bénéficié d’un congé de recherche de son université  en 2013, et a été accueilli</w:t>
      </w:r>
      <w:r w:rsidR="00E435E3">
        <w:rPr>
          <w:lang w:eastAsia="fr-FR"/>
        </w:rPr>
        <w:t>e comme professeure invitée</w:t>
      </w:r>
      <w:r>
        <w:rPr>
          <w:lang w:eastAsia="fr-FR"/>
        </w:rPr>
        <w:t xml:space="preserve"> à Paris 1; elle a pu contribuer aux enquêtes à Paris dans ce cadre.</w:t>
      </w:r>
      <w:r w:rsidR="00E435E3">
        <w:rPr>
          <w:lang w:eastAsia="fr-FR"/>
        </w:rPr>
        <w:t xml:space="preserve"> Ses fonds de recherche ont permis d’assurer la retranscription</w:t>
      </w:r>
      <w:r w:rsidR="00052826">
        <w:rPr>
          <w:lang w:eastAsia="fr-FR"/>
        </w:rPr>
        <w:t xml:space="preserve"> des entretiens professionnels à Wellington</w:t>
      </w:r>
      <w:r w:rsidR="00E435E3">
        <w:rPr>
          <w:lang w:eastAsia="fr-FR"/>
        </w:rPr>
        <w:t>.</w:t>
      </w:r>
    </w:p>
    <w:p w:rsidR="001E0CBE" w:rsidRDefault="001E0CBE" w:rsidP="00A00BAA">
      <w:pPr>
        <w:shd w:val="clear" w:color="auto" w:fill="FFFFFF"/>
        <w:spacing w:after="0" w:line="240" w:lineRule="auto"/>
        <w:rPr>
          <w:lang w:eastAsia="fr-FR"/>
        </w:rPr>
      </w:pPr>
      <w:r>
        <w:rPr>
          <w:lang w:eastAsia="fr-FR"/>
        </w:rPr>
        <w:t>-Lee Davidson a fourni, par ses contacts avec l’Ambassade de Nouvelle Zélande les invitations de l’équipe à la cérémonie de restitution des têtes maories au MQB, le 23 janvier 2013.</w:t>
      </w:r>
    </w:p>
    <w:p w:rsidR="00052826" w:rsidRDefault="00052826" w:rsidP="00A00BAA">
      <w:pPr>
        <w:shd w:val="clear" w:color="auto" w:fill="FFFFFF"/>
        <w:spacing w:after="0" w:line="240" w:lineRule="auto"/>
        <w:rPr>
          <w:lang w:eastAsia="fr-FR"/>
        </w:rPr>
      </w:pPr>
    </w:p>
    <w:p w:rsidR="009A648E" w:rsidRDefault="00E435E3" w:rsidP="009A648E">
      <w:pPr>
        <w:shd w:val="clear" w:color="auto" w:fill="FFFFFF"/>
        <w:spacing w:after="0" w:line="240" w:lineRule="auto"/>
        <w:rPr>
          <w:lang w:eastAsia="fr-FR"/>
        </w:rPr>
      </w:pPr>
      <w:r>
        <w:rPr>
          <w:lang w:eastAsia="fr-FR"/>
        </w:rPr>
        <w:t>D</w:t>
      </w:r>
      <w:r w:rsidR="00CC11A2">
        <w:rPr>
          <w:lang w:eastAsia="fr-FR"/>
        </w:rPr>
        <w:t xml:space="preserve">es déplacements de Natacha Gagné à Paris </w:t>
      </w:r>
      <w:proofErr w:type="gramStart"/>
      <w:r w:rsidR="00CC11A2">
        <w:rPr>
          <w:lang w:eastAsia="fr-FR"/>
        </w:rPr>
        <w:t>( octobre</w:t>
      </w:r>
      <w:proofErr w:type="gramEnd"/>
      <w:r w:rsidR="00CC11A2">
        <w:rPr>
          <w:lang w:eastAsia="fr-FR"/>
        </w:rPr>
        <w:t xml:space="preserve"> 2012 ; janvier 2013) ont été faits dans le cadre de recherche financées par son université de rattachement (Université d’Ottawa puis </w:t>
      </w:r>
      <w:r w:rsidR="009A648E">
        <w:rPr>
          <w:lang w:eastAsia="fr-FR"/>
        </w:rPr>
        <w:t>Université Laval de Québec</w:t>
      </w:r>
      <w:r w:rsidR="00CC11A2">
        <w:rPr>
          <w:lang w:eastAsia="fr-FR"/>
        </w:rPr>
        <w:t>).</w:t>
      </w:r>
    </w:p>
    <w:p w:rsidR="00CC11A2" w:rsidRDefault="00CC11A2" w:rsidP="009A648E">
      <w:pPr>
        <w:shd w:val="clear" w:color="auto" w:fill="FFFFFF"/>
        <w:spacing w:after="0" w:line="240" w:lineRule="auto"/>
        <w:rPr>
          <w:lang w:eastAsia="fr-FR"/>
        </w:rPr>
      </w:pPr>
      <w:r>
        <w:rPr>
          <w:lang w:eastAsia="fr-FR"/>
        </w:rPr>
        <w:t>Les</w:t>
      </w:r>
      <w:r w:rsidRPr="00CC11A2">
        <w:rPr>
          <w:lang w:eastAsia="fr-FR"/>
        </w:rPr>
        <w:t xml:space="preserve"> fonds de recherches et d’aide à l’enseignement </w:t>
      </w:r>
      <w:r>
        <w:rPr>
          <w:lang w:eastAsia="fr-FR"/>
        </w:rPr>
        <w:t>attribués à Natacha Gagné par</w:t>
      </w:r>
      <w:r w:rsidRPr="00CC11A2">
        <w:rPr>
          <w:lang w:eastAsia="fr-FR"/>
        </w:rPr>
        <w:t xml:space="preserve"> l’Université Laval ont également servi à payer une partie de la transcription des entretiens réalisés à Québec ; l’autre partie fut réalisée par les stagiaires gracieusement</w:t>
      </w:r>
      <w:r w:rsidR="00D753B9">
        <w:rPr>
          <w:lang w:eastAsia="fr-FR"/>
        </w:rPr>
        <w:t>.</w:t>
      </w:r>
    </w:p>
    <w:p w:rsidR="00CC11A2" w:rsidRPr="00CC11A2" w:rsidRDefault="009A648E" w:rsidP="00CC11A2">
      <w:pPr>
        <w:shd w:val="clear" w:color="auto" w:fill="FFFFFF"/>
        <w:spacing w:after="0" w:line="240" w:lineRule="auto"/>
        <w:rPr>
          <w:lang w:eastAsia="fr-FR"/>
        </w:rPr>
      </w:pPr>
      <w:r>
        <w:rPr>
          <w:lang w:eastAsia="fr-FR"/>
        </w:rPr>
        <w:t>Deux stagiaires</w:t>
      </w:r>
      <w:r w:rsidR="00D753B9">
        <w:rPr>
          <w:lang w:eastAsia="fr-FR"/>
        </w:rPr>
        <w:t>,</w:t>
      </w:r>
      <w:r>
        <w:rPr>
          <w:lang w:eastAsia="fr-FR"/>
        </w:rPr>
        <w:t xml:space="preserve"> </w:t>
      </w:r>
      <w:r w:rsidR="00CC11A2">
        <w:rPr>
          <w:lang w:eastAsia="fr-FR"/>
        </w:rPr>
        <w:t xml:space="preserve">Servane </w:t>
      </w:r>
      <w:proofErr w:type="spellStart"/>
      <w:r w:rsidR="00CC11A2">
        <w:rPr>
          <w:lang w:eastAsia="fr-FR"/>
        </w:rPr>
        <w:t>Roupnel</w:t>
      </w:r>
      <w:proofErr w:type="spellEnd"/>
      <w:r w:rsidR="00CC11A2">
        <w:rPr>
          <w:lang w:eastAsia="fr-FR"/>
        </w:rPr>
        <w:t xml:space="preserve"> et </w:t>
      </w:r>
      <w:r w:rsidR="00CC11A2" w:rsidRPr="00CC11A2">
        <w:rPr>
          <w:lang w:eastAsia="fr-FR"/>
        </w:rPr>
        <w:t>Eve Desroches-</w:t>
      </w:r>
      <w:proofErr w:type="spellStart"/>
      <w:r w:rsidR="00CC11A2" w:rsidRPr="00CC11A2">
        <w:rPr>
          <w:lang w:eastAsia="fr-FR"/>
        </w:rPr>
        <w:t>Maheux</w:t>
      </w:r>
      <w:proofErr w:type="spellEnd"/>
      <w:r w:rsidR="00CC11A2" w:rsidRPr="00CC11A2">
        <w:rPr>
          <w:lang w:eastAsia="fr-FR"/>
        </w:rPr>
        <w:t xml:space="preserve"> </w:t>
      </w:r>
      <w:r>
        <w:rPr>
          <w:lang w:eastAsia="fr-FR"/>
        </w:rPr>
        <w:t xml:space="preserve">ont réalisé le codage sous </w:t>
      </w:r>
      <w:proofErr w:type="spellStart"/>
      <w:r w:rsidR="00CC11A2">
        <w:rPr>
          <w:lang w:eastAsia="fr-FR"/>
        </w:rPr>
        <w:t>INvivo</w:t>
      </w:r>
      <w:proofErr w:type="spellEnd"/>
      <w:r w:rsidR="00CC11A2">
        <w:rPr>
          <w:lang w:eastAsia="fr-FR"/>
        </w:rPr>
        <w:t xml:space="preserve"> des entretiens v</w:t>
      </w:r>
      <w:r>
        <w:rPr>
          <w:lang w:eastAsia="fr-FR"/>
        </w:rPr>
        <w:t>isiteurs à Paris et Québec</w:t>
      </w:r>
      <w:r w:rsidR="00CC11A2">
        <w:rPr>
          <w:lang w:eastAsia="fr-FR"/>
        </w:rPr>
        <w:t>.</w:t>
      </w:r>
      <w:r w:rsidR="00CC11A2" w:rsidRPr="00CC11A2">
        <w:rPr>
          <w:lang w:eastAsia="fr-FR"/>
        </w:rPr>
        <w:t xml:space="preserve"> </w:t>
      </w:r>
      <w:r w:rsidR="00CC11A2">
        <w:rPr>
          <w:lang w:eastAsia="fr-FR"/>
        </w:rPr>
        <w:t>Leurs</w:t>
      </w:r>
      <w:r w:rsidR="00CC11A2" w:rsidRPr="00CC11A2">
        <w:rPr>
          <w:lang w:eastAsia="fr-FR"/>
        </w:rPr>
        <w:t xml:space="preserve"> rapports ont été réalisés dans le cadre d’un stage non </w:t>
      </w:r>
      <w:r w:rsidR="00CC11A2" w:rsidRPr="00CC11A2">
        <w:rPr>
          <w:lang w:eastAsia="fr-FR"/>
        </w:rPr>
        <w:lastRenderedPageBreak/>
        <w:t>rémunéré dans le cadre du cours Formation pratique</w:t>
      </w:r>
      <w:r w:rsidR="00CC11A2">
        <w:rPr>
          <w:lang w:eastAsia="fr-FR"/>
        </w:rPr>
        <w:t xml:space="preserve"> de l’Université Laval, sous la supervision de Natacha Gagné</w:t>
      </w:r>
      <w:r w:rsidR="00E435E3">
        <w:rPr>
          <w:lang w:eastAsia="fr-FR"/>
        </w:rPr>
        <w:t>.</w:t>
      </w:r>
    </w:p>
    <w:p w:rsidR="009A648E" w:rsidRDefault="009A648E" w:rsidP="00A00BAA">
      <w:pPr>
        <w:shd w:val="clear" w:color="auto" w:fill="FFFFFF"/>
        <w:spacing w:after="0" w:line="240" w:lineRule="auto"/>
        <w:rPr>
          <w:lang w:eastAsia="fr-FR"/>
        </w:rPr>
      </w:pPr>
    </w:p>
    <w:p w:rsidR="001E0CBE" w:rsidRDefault="00E435E3" w:rsidP="00A00BAA">
      <w:pPr>
        <w:shd w:val="clear" w:color="auto" w:fill="FFFFFF"/>
        <w:spacing w:after="0" w:line="240" w:lineRule="auto"/>
        <w:rPr>
          <w:lang w:eastAsia="fr-FR"/>
        </w:rPr>
      </w:pPr>
      <w:r>
        <w:rPr>
          <w:lang w:eastAsia="fr-FR"/>
        </w:rPr>
        <w:t xml:space="preserve">Le </w:t>
      </w:r>
      <w:r w:rsidR="001E0CBE">
        <w:rPr>
          <w:lang w:eastAsia="fr-FR"/>
        </w:rPr>
        <w:t>Musée du Quai Branly</w:t>
      </w:r>
      <w:r>
        <w:rPr>
          <w:lang w:eastAsia="fr-FR"/>
        </w:rPr>
        <w:t xml:space="preserve"> a</w:t>
      </w:r>
      <w:r w:rsidR="001E0CBE">
        <w:rPr>
          <w:lang w:eastAsia="fr-FR"/>
        </w:rPr>
        <w:t xml:space="preserve"> gracieusement mis une salle de réunion à disposition de l’équipe pour la réunion du 23 Janvier 2013</w:t>
      </w:r>
      <w:r w:rsidR="00792DC5">
        <w:rPr>
          <w:lang w:eastAsia="fr-FR"/>
        </w:rPr>
        <w:t>.</w:t>
      </w:r>
    </w:p>
    <w:p w:rsidR="001E0CBE" w:rsidRDefault="009A648E" w:rsidP="009A648E">
      <w:pPr>
        <w:pStyle w:val="Titre1"/>
        <w:rPr>
          <w:rFonts w:eastAsia="Times New Roman"/>
          <w:lang w:eastAsia="fr-FR"/>
        </w:rPr>
      </w:pPr>
      <w:bookmarkStart w:id="9" w:name="_Toc385923192"/>
      <w:r>
        <w:rPr>
          <w:rFonts w:eastAsia="Times New Roman"/>
          <w:lang w:eastAsia="fr-FR"/>
        </w:rPr>
        <w:t>II. TRAVAUX ET PUBLICATIONS</w:t>
      </w:r>
      <w:bookmarkEnd w:id="9"/>
    </w:p>
    <w:p w:rsidR="009A648E" w:rsidRDefault="001E0CBE" w:rsidP="00E435E3">
      <w:pPr>
        <w:shd w:val="clear" w:color="auto" w:fill="FFFFFF"/>
        <w:spacing w:after="0" w:line="240" w:lineRule="auto"/>
        <w:rPr>
          <w:rFonts w:eastAsia="Times New Roman" w:cs="Helvetica"/>
          <w:color w:val="222222"/>
          <w:lang w:eastAsia="fr-FR"/>
        </w:rPr>
      </w:pPr>
      <w:r w:rsidRPr="00E435E3">
        <w:rPr>
          <w:rFonts w:eastAsia="Times New Roman" w:cs="Helvetica"/>
          <w:color w:val="222222"/>
          <w:lang w:eastAsia="fr-FR"/>
        </w:rPr>
        <w:t>Cette section présente la liste des travaux et rapports de recherche internes (analyse d’entretiens, observations), non publiés, et donne une présentation synthétique des travaux pu</w:t>
      </w:r>
      <w:r w:rsidR="00D753B9">
        <w:rPr>
          <w:rFonts w:eastAsia="Times New Roman" w:cs="Helvetica"/>
          <w:color w:val="222222"/>
          <w:lang w:eastAsia="fr-FR"/>
        </w:rPr>
        <w:t>bliés (ou soumis à publication). L</w:t>
      </w:r>
      <w:r w:rsidRPr="00E435E3">
        <w:rPr>
          <w:rFonts w:eastAsia="Times New Roman" w:cs="Helvetica"/>
          <w:color w:val="222222"/>
          <w:lang w:eastAsia="fr-FR"/>
        </w:rPr>
        <w:t>es textes complets sont joints en annexe</w:t>
      </w:r>
      <w:r w:rsidR="00E435E3" w:rsidRPr="00E435E3">
        <w:rPr>
          <w:rFonts w:eastAsia="Times New Roman" w:cs="Helvetica"/>
          <w:color w:val="222222"/>
          <w:lang w:eastAsia="fr-FR"/>
        </w:rPr>
        <w:t>.</w:t>
      </w:r>
    </w:p>
    <w:p w:rsidR="00D753B9" w:rsidRPr="00D753B9" w:rsidRDefault="00D753B9" w:rsidP="00E435E3">
      <w:pPr>
        <w:shd w:val="clear" w:color="auto" w:fill="FFFFFF"/>
        <w:spacing w:after="0" w:line="240" w:lineRule="auto"/>
        <w:rPr>
          <w:rFonts w:eastAsia="Times New Roman" w:cs="Helvetica"/>
          <w:b/>
          <w:color w:val="222222"/>
          <w:lang w:eastAsia="fr-FR"/>
        </w:rPr>
      </w:pPr>
      <w:r w:rsidRPr="00D753B9">
        <w:rPr>
          <w:rFonts w:eastAsia="Times New Roman" w:cs="Helvetica"/>
          <w:b/>
          <w:color w:val="222222"/>
          <w:lang w:eastAsia="fr-FR"/>
        </w:rPr>
        <w:t xml:space="preserve">La diffusion de ces travaux nécessite l’accord des auteures, car les conditions de diffusion des entretiens réalisés </w:t>
      </w:r>
      <w:proofErr w:type="gramStart"/>
      <w:r w:rsidRPr="00D753B9">
        <w:rPr>
          <w:rFonts w:eastAsia="Times New Roman" w:cs="Helvetica"/>
          <w:b/>
          <w:color w:val="222222"/>
          <w:lang w:eastAsia="fr-FR"/>
        </w:rPr>
        <w:t>dépend</w:t>
      </w:r>
      <w:proofErr w:type="gramEnd"/>
      <w:r w:rsidRPr="00D753B9">
        <w:rPr>
          <w:rFonts w:eastAsia="Times New Roman" w:cs="Helvetica"/>
          <w:b/>
          <w:color w:val="222222"/>
          <w:lang w:eastAsia="fr-FR"/>
        </w:rPr>
        <w:t xml:space="preserve"> des engagements éthiques signés entre les personnes interviewées et les universités.</w:t>
      </w:r>
    </w:p>
    <w:p w:rsidR="00D753B9" w:rsidRDefault="00D753B9" w:rsidP="00E435E3">
      <w:pPr>
        <w:shd w:val="clear" w:color="auto" w:fill="FFFFFF"/>
        <w:spacing w:after="0" w:line="240" w:lineRule="auto"/>
        <w:rPr>
          <w:rFonts w:eastAsia="Times New Roman" w:cs="Helvetica"/>
          <w:color w:val="222222"/>
          <w:lang w:eastAsia="fr-FR"/>
        </w:rPr>
      </w:pPr>
    </w:p>
    <w:p w:rsidR="007E71B3" w:rsidRDefault="002D5221" w:rsidP="009A648E">
      <w:pPr>
        <w:pStyle w:val="Titre2"/>
      </w:pPr>
      <w:bookmarkStart w:id="10" w:name="_Toc385923193"/>
      <w:r w:rsidRPr="002D5221">
        <w:t>1. L’EXPOSITION</w:t>
      </w:r>
      <w:bookmarkEnd w:id="10"/>
    </w:p>
    <w:p w:rsidR="009A648E" w:rsidRPr="009A648E" w:rsidRDefault="009A648E" w:rsidP="009A648E">
      <w:pPr>
        <w:pStyle w:val="Titre3"/>
      </w:pPr>
      <w:bookmarkStart w:id="11" w:name="_Toc385923194"/>
      <w:r>
        <w:t>11. Approches de l’exposition comme zone de contact</w:t>
      </w:r>
      <w:bookmarkEnd w:id="11"/>
    </w:p>
    <w:p w:rsidR="007935E1" w:rsidRPr="00E435E3" w:rsidRDefault="007935E1" w:rsidP="00A00BAA">
      <w:pPr>
        <w:shd w:val="clear" w:color="auto" w:fill="FFFFFF"/>
        <w:spacing w:after="0" w:line="240" w:lineRule="auto"/>
        <w:rPr>
          <w:rFonts w:ascii="Helvetica" w:eastAsia="Times New Roman" w:hAnsi="Helvetica" w:cs="Helvetica"/>
          <w:b/>
          <w:bCs/>
          <w:color w:val="222222"/>
          <w:lang w:eastAsia="fr-FR"/>
        </w:rPr>
      </w:pPr>
    </w:p>
    <w:p w:rsidR="00052826" w:rsidRPr="00E435E3" w:rsidRDefault="004D00AE" w:rsidP="00A00BAA">
      <w:pPr>
        <w:rPr>
          <w:lang w:val="en-US"/>
        </w:rPr>
      </w:pPr>
      <w:r w:rsidRPr="00E435E3">
        <w:rPr>
          <w:b/>
          <w:lang w:val="en-US"/>
        </w:rPr>
        <w:t>Communication:</w:t>
      </w:r>
      <w:r w:rsidR="00E435E3">
        <w:rPr>
          <w:lang w:val="en-US"/>
        </w:rPr>
        <w:t xml:space="preserve"> </w:t>
      </w:r>
      <w:proofErr w:type="spellStart"/>
      <w:r w:rsidR="007935E1" w:rsidRPr="00E435E3">
        <w:rPr>
          <w:lang w:val="en-US"/>
        </w:rPr>
        <w:t>Crenn</w:t>
      </w:r>
      <w:proofErr w:type="spellEnd"/>
      <w:r w:rsidR="007935E1" w:rsidRPr="00E435E3">
        <w:rPr>
          <w:lang w:val="en-US"/>
        </w:rPr>
        <w:t xml:space="preserve">, </w:t>
      </w:r>
      <w:proofErr w:type="spellStart"/>
      <w:r w:rsidR="007935E1" w:rsidRPr="00E435E3">
        <w:rPr>
          <w:lang w:val="en-US"/>
        </w:rPr>
        <w:t>Gaëlle</w:t>
      </w:r>
      <w:proofErr w:type="spellEnd"/>
      <w:r w:rsidR="007935E1" w:rsidRPr="00E435E3">
        <w:rPr>
          <w:lang w:val="en-US"/>
        </w:rPr>
        <w:t>, Davidson, Lee,</w:t>
      </w:r>
      <w:r w:rsidR="00D753B9">
        <w:rPr>
          <w:lang w:val="en-US"/>
        </w:rPr>
        <w:t xml:space="preserve"> “</w:t>
      </w:r>
      <w:r w:rsidR="007935E1" w:rsidRPr="00E435E3">
        <w:rPr>
          <w:lang w:val="en-US"/>
        </w:rPr>
        <w:t>Views of culture on tour: New theories, methodologies and perspectives for an emerging field</w:t>
      </w:r>
      <w:r w:rsidRPr="00E435E3">
        <w:rPr>
          <w:lang w:val="en-US"/>
        </w:rPr>
        <w:t xml:space="preserve">”. </w:t>
      </w:r>
      <w:r w:rsidRPr="00E435E3">
        <w:rPr>
          <w:bCs/>
          <w:lang w:val="en-US"/>
        </w:rPr>
        <w:t xml:space="preserve">Conference Association of Critical Heritage Studies Inaugural Conference, Gothenburg, Sweden, 5-8 June 2012. </w:t>
      </w:r>
      <w:r w:rsidRPr="00E435E3">
        <w:rPr>
          <w:lang w:val="en-US"/>
        </w:rPr>
        <w:t>[</w:t>
      </w:r>
      <w:r w:rsidR="00052826" w:rsidRPr="00E435E3">
        <w:rPr>
          <w:lang w:val="en-US"/>
        </w:rPr>
        <w:t xml:space="preserve">Communication </w:t>
      </w:r>
      <w:proofErr w:type="spellStart"/>
      <w:r w:rsidR="00052826" w:rsidRPr="00E435E3">
        <w:rPr>
          <w:lang w:val="en-US"/>
        </w:rPr>
        <w:t>présentée</w:t>
      </w:r>
      <w:proofErr w:type="spellEnd"/>
      <w:r w:rsidR="00052826" w:rsidRPr="00E435E3">
        <w:rPr>
          <w:lang w:val="en-US"/>
        </w:rPr>
        <w:t xml:space="preserve"> par </w:t>
      </w:r>
      <w:proofErr w:type="spellStart"/>
      <w:r w:rsidR="00052826" w:rsidRPr="00E435E3">
        <w:rPr>
          <w:lang w:val="en-US"/>
        </w:rPr>
        <w:t>Gaëlle</w:t>
      </w:r>
      <w:proofErr w:type="spellEnd"/>
      <w:r w:rsidR="00052826" w:rsidRPr="00E435E3">
        <w:rPr>
          <w:lang w:val="en-US"/>
        </w:rPr>
        <w:t xml:space="preserve"> </w:t>
      </w:r>
      <w:proofErr w:type="spellStart"/>
      <w:r w:rsidR="00052826" w:rsidRPr="00E435E3">
        <w:rPr>
          <w:lang w:val="en-US"/>
        </w:rPr>
        <w:t>Crenn</w:t>
      </w:r>
      <w:proofErr w:type="spellEnd"/>
      <w:r w:rsidRPr="00E435E3">
        <w:rPr>
          <w:lang w:val="en-US"/>
        </w:rPr>
        <w:t>]</w:t>
      </w:r>
    </w:p>
    <w:p w:rsidR="00803778" w:rsidRPr="007935E1" w:rsidRDefault="00216268" w:rsidP="00A00BAA">
      <w:pPr>
        <w:rPr>
          <w:lang w:val="en-US"/>
        </w:rPr>
      </w:pPr>
      <w:r w:rsidRPr="00E435E3">
        <w:rPr>
          <w:b/>
          <w:lang w:val="en-US"/>
        </w:rPr>
        <w:t>Abstract:</w:t>
      </w:r>
      <w:r>
        <w:rPr>
          <w:lang w:val="en-US"/>
        </w:rPr>
        <w:t xml:space="preserve"> </w:t>
      </w:r>
      <w:r w:rsidR="007935E1" w:rsidRPr="007935E1">
        <w:rPr>
          <w:lang w:val="en-US"/>
        </w:rPr>
        <w:t xml:space="preserve">This paper presents the preliminary findings from a comparative transnational project examining the staging of a Māori exhibition in New Zealand, France and Canada. Drawing on the work of James Clifford, it considers this touring exhibition as a mobile ‘contact zone’ and aims to understand how both museum professionals and visitors deal with </w:t>
      </w:r>
      <w:proofErr w:type="spellStart"/>
      <w:r w:rsidR="007935E1" w:rsidRPr="007935E1">
        <w:rPr>
          <w:lang w:val="en-US"/>
        </w:rPr>
        <w:t>interculturality</w:t>
      </w:r>
      <w:proofErr w:type="spellEnd"/>
      <w:r w:rsidR="007935E1" w:rsidRPr="007935E1">
        <w:rPr>
          <w:lang w:val="en-US"/>
        </w:rPr>
        <w:t>, and how related meanings and identities shift as the exhibition moves from one national context to the next. The project’s multi-method approach combines both conventional quantitative visitor data with in-depth interviews of visitors and museum professionals across the three sites. As such, it demonstrates the value of combining a range of theories, methods and sources in order to build a critical heritage studies informed by a more rounded view of the experience of culture, representation and identity. In terms of heritage practices, our comparative methodology can inform the ways in which exhibitions of "the self", including hot cultural topics, can be adapted to effecti</w:t>
      </w:r>
      <w:r w:rsidR="00E435E3">
        <w:rPr>
          <w:lang w:val="en-US"/>
        </w:rPr>
        <w:t>vely address diverse audiences.</w:t>
      </w:r>
    </w:p>
    <w:p w:rsidR="00CC11A2" w:rsidRPr="00E435E3" w:rsidRDefault="009A648E" w:rsidP="00E435E3">
      <w:pPr>
        <w:pStyle w:val="Titre3"/>
      </w:pPr>
      <w:bookmarkStart w:id="12" w:name="_Toc385923195"/>
      <w:r w:rsidRPr="009A648E">
        <w:t>12. Muséographie et interprétation dans l’exposition “</w:t>
      </w:r>
      <w:r>
        <w:t xml:space="preserve">E </w:t>
      </w:r>
      <w:proofErr w:type="spellStart"/>
      <w:r>
        <w:t>tū</w:t>
      </w:r>
      <w:proofErr w:type="spellEnd"/>
      <w:r w:rsidRPr="009A648E">
        <w:t xml:space="preserve"> </w:t>
      </w:r>
      <w:proofErr w:type="spellStart"/>
      <w:r w:rsidRPr="009A648E">
        <w:t>Ake</w:t>
      </w:r>
      <w:proofErr w:type="spellEnd"/>
      <w:r>
        <w:t> »</w:t>
      </w:r>
      <w:bookmarkEnd w:id="12"/>
    </w:p>
    <w:p w:rsidR="00216268" w:rsidRPr="00E435E3" w:rsidRDefault="00052826" w:rsidP="00A00BAA">
      <w:pPr>
        <w:rPr>
          <w:b/>
          <w:lang w:val="en-US"/>
        </w:rPr>
      </w:pPr>
      <w:proofErr w:type="gramStart"/>
      <w:r w:rsidRPr="00E435E3">
        <w:rPr>
          <w:b/>
          <w:lang w:val="en-US"/>
        </w:rPr>
        <w:t>Communication :</w:t>
      </w:r>
      <w:proofErr w:type="gramEnd"/>
      <w:r w:rsidRPr="00E435E3">
        <w:rPr>
          <w:b/>
          <w:lang w:val="en-US"/>
        </w:rPr>
        <w:t xml:space="preserve"> </w:t>
      </w:r>
      <w:proofErr w:type="spellStart"/>
      <w:r w:rsidR="004D00AE" w:rsidRPr="00052826">
        <w:rPr>
          <w:rFonts w:eastAsia="Times New Roman" w:cs="Calibri"/>
          <w:bCs/>
          <w:lang w:val="en-US"/>
        </w:rPr>
        <w:t>Crenn</w:t>
      </w:r>
      <w:proofErr w:type="spellEnd"/>
      <w:r w:rsidR="004D00AE" w:rsidRPr="00052826">
        <w:rPr>
          <w:rFonts w:eastAsia="Times New Roman" w:cs="Calibri"/>
          <w:bCs/>
          <w:lang w:val="en-US"/>
        </w:rPr>
        <w:t xml:space="preserve">, </w:t>
      </w:r>
      <w:proofErr w:type="spellStart"/>
      <w:r w:rsidR="004D00AE" w:rsidRPr="00052826">
        <w:rPr>
          <w:rFonts w:eastAsia="Times New Roman" w:cs="Calibri"/>
          <w:bCs/>
          <w:lang w:val="en-US"/>
        </w:rPr>
        <w:t>Gaëlle</w:t>
      </w:r>
      <w:proofErr w:type="spellEnd"/>
      <w:r w:rsidR="004D00AE" w:rsidRPr="00052826">
        <w:rPr>
          <w:rFonts w:eastAsia="Times New Roman" w:cs="Calibri"/>
          <w:bCs/>
          <w:lang w:val="en-US"/>
        </w:rPr>
        <w:t>, Davidson, Lee, “</w:t>
      </w:r>
      <w:r w:rsidR="004D00AE" w:rsidRPr="00052826">
        <w:rPr>
          <w:lang w:val="en-US"/>
        </w:rPr>
        <w:t>Intercultural dialogue and the touring exhibition:</w:t>
      </w:r>
      <w:r w:rsidR="004D00AE">
        <w:rPr>
          <w:lang w:val="en-US"/>
        </w:rPr>
        <w:t xml:space="preserve"> </w:t>
      </w:r>
      <w:r w:rsidR="004D00AE" w:rsidRPr="00052826">
        <w:rPr>
          <w:lang w:val="en-US"/>
        </w:rPr>
        <w:t>A case study of a Māori exhibition in the northern hemisphere”</w:t>
      </w:r>
      <w:r w:rsidR="004D00AE">
        <w:rPr>
          <w:lang w:val="en-US"/>
        </w:rPr>
        <w:t>, C</w:t>
      </w:r>
      <w:r w:rsidR="004D00AE">
        <w:rPr>
          <w:rFonts w:eastAsia="Times New Roman" w:cs="Calibri"/>
          <w:bCs/>
          <w:lang w:val="en-US"/>
        </w:rPr>
        <w:t xml:space="preserve">onference  </w:t>
      </w:r>
      <w:r w:rsidR="004D00AE" w:rsidRPr="00052826">
        <w:rPr>
          <w:rFonts w:eastAsia="Times New Roman" w:cs="Calibri"/>
          <w:bCs/>
          <w:lang w:val="en-US"/>
        </w:rPr>
        <w:t>“Understanding each other’s heritage – Challenges for heritage communication in a globalized world”</w:t>
      </w:r>
      <w:r w:rsidR="004D00AE">
        <w:rPr>
          <w:rFonts w:eastAsia="Times New Roman" w:cs="Calibri"/>
          <w:bCs/>
          <w:lang w:val="en-US"/>
        </w:rPr>
        <w:t xml:space="preserve">, </w:t>
      </w:r>
      <w:r w:rsidR="004D00AE" w:rsidRPr="00052826">
        <w:rPr>
          <w:rFonts w:eastAsia="Times New Roman" w:cs="Calibri"/>
          <w:bCs/>
          <w:lang w:val="en-US"/>
        </w:rPr>
        <w:t xml:space="preserve"> July 19-21, 2012, BTU Cottbus, Germany</w:t>
      </w:r>
      <w:r w:rsidR="004D00AE">
        <w:rPr>
          <w:rFonts w:eastAsia="Times New Roman" w:cs="Calibri"/>
          <w:bCs/>
          <w:lang w:val="en-US"/>
        </w:rPr>
        <w:t>.</w:t>
      </w:r>
      <w:r w:rsidR="004D00AE">
        <w:rPr>
          <w:lang w:val="en-US"/>
        </w:rPr>
        <w:t xml:space="preserve"> </w:t>
      </w:r>
      <w:r w:rsidR="004D00AE">
        <w:rPr>
          <w:sz w:val="20"/>
          <w:lang w:val="en-US"/>
        </w:rPr>
        <w:t>[</w:t>
      </w:r>
      <w:r>
        <w:rPr>
          <w:lang w:val="en-US"/>
        </w:rPr>
        <w:t xml:space="preserve">Communication </w:t>
      </w:r>
      <w:proofErr w:type="spellStart"/>
      <w:r>
        <w:rPr>
          <w:lang w:val="en-US"/>
        </w:rPr>
        <w:t>présentée</w:t>
      </w:r>
      <w:proofErr w:type="spellEnd"/>
      <w:r>
        <w:rPr>
          <w:lang w:val="en-US"/>
        </w:rPr>
        <w:t xml:space="preserve"> par Lee Davidson</w:t>
      </w:r>
      <w:r w:rsidR="004D00AE">
        <w:rPr>
          <w:lang w:val="en-US"/>
        </w:rPr>
        <w:t>]</w:t>
      </w:r>
    </w:p>
    <w:p w:rsidR="00216268" w:rsidRPr="00052826" w:rsidRDefault="00216268" w:rsidP="00A00BAA">
      <w:pPr>
        <w:rPr>
          <w:rFonts w:eastAsia="Times New Roman" w:cs="Calibri"/>
          <w:bCs/>
          <w:lang w:val="en-US"/>
        </w:rPr>
      </w:pPr>
      <w:r w:rsidRPr="00E435E3">
        <w:rPr>
          <w:rFonts w:eastAsia="Times New Roman" w:cs="Calibri"/>
          <w:b/>
          <w:bCs/>
          <w:lang w:val="en-US"/>
        </w:rPr>
        <w:t>Session 2</w:t>
      </w:r>
      <w:r w:rsidRPr="00052826">
        <w:rPr>
          <w:rFonts w:eastAsia="Times New Roman" w:cs="Calibri"/>
          <w:bCs/>
          <w:lang w:val="en-US"/>
        </w:rPr>
        <w:t>: Heritage (</w:t>
      </w:r>
      <w:proofErr w:type="spellStart"/>
      <w:r w:rsidRPr="00052826">
        <w:rPr>
          <w:rFonts w:eastAsia="Times New Roman" w:cs="Calibri"/>
          <w:bCs/>
          <w:lang w:val="en-US"/>
        </w:rPr>
        <w:t>mis</w:t>
      </w:r>
      <w:proofErr w:type="spellEnd"/>
      <w:r w:rsidRPr="00052826">
        <w:rPr>
          <w:rFonts w:eastAsia="Times New Roman" w:cs="Calibri"/>
          <w:bCs/>
          <w:lang w:val="en-US"/>
        </w:rPr>
        <w:t>)interpretation: challenges and opportunities for interpretation for diverse audiences</w:t>
      </w:r>
    </w:p>
    <w:p w:rsidR="00216268" w:rsidRPr="00216268" w:rsidRDefault="00216268" w:rsidP="00A00BAA">
      <w:pPr>
        <w:rPr>
          <w:lang w:val="en-US"/>
        </w:rPr>
      </w:pPr>
      <w:r w:rsidRPr="00E435E3">
        <w:rPr>
          <w:b/>
          <w:lang w:val="en-US"/>
        </w:rPr>
        <w:t>Abstract:</w:t>
      </w:r>
      <w:r>
        <w:rPr>
          <w:lang w:val="en-US"/>
        </w:rPr>
        <w:t xml:space="preserve"> </w:t>
      </w:r>
      <w:r w:rsidRPr="00216268">
        <w:rPr>
          <w:lang w:val="en-US"/>
        </w:rPr>
        <w:t xml:space="preserve">This paper presents the preliminary findings from a comparative transnational study examining the staging of a Māori exhibition in New Zealand, France and Canada. The "E </w:t>
      </w:r>
      <w:proofErr w:type="spellStart"/>
      <w:r w:rsidRPr="00216268">
        <w:rPr>
          <w:lang w:val="en-US"/>
        </w:rPr>
        <w:t>Tu</w:t>
      </w:r>
      <w:proofErr w:type="spellEnd"/>
      <w:r w:rsidRPr="00216268">
        <w:rPr>
          <w:lang w:val="en-US"/>
        </w:rPr>
        <w:t xml:space="preserve"> </w:t>
      </w:r>
      <w:proofErr w:type="spellStart"/>
      <w:r w:rsidRPr="00216268">
        <w:rPr>
          <w:lang w:val="en-US"/>
        </w:rPr>
        <w:t>Ake</w:t>
      </w:r>
      <w:proofErr w:type="spellEnd"/>
      <w:r w:rsidRPr="00216268">
        <w:rPr>
          <w:lang w:val="en-US"/>
        </w:rPr>
        <w:t xml:space="preserve">: </w:t>
      </w:r>
      <w:r w:rsidRPr="00216268">
        <w:rPr>
          <w:lang w:val="en-US"/>
        </w:rPr>
        <w:lastRenderedPageBreak/>
        <w:t>Standing Strong” exhibition, designed and presented by the Muse</w:t>
      </w:r>
      <w:r w:rsidR="00D753B9">
        <w:rPr>
          <w:lang w:val="en-US"/>
        </w:rPr>
        <w:t xml:space="preserve">um of New Zealand </w:t>
      </w:r>
      <w:proofErr w:type="spellStart"/>
      <w:r w:rsidR="00D753B9">
        <w:rPr>
          <w:lang w:val="en-US"/>
        </w:rPr>
        <w:t>Te</w:t>
      </w:r>
      <w:proofErr w:type="spellEnd"/>
      <w:r w:rsidR="00D753B9">
        <w:rPr>
          <w:lang w:val="en-US"/>
        </w:rPr>
        <w:t xml:space="preserve"> Papa </w:t>
      </w:r>
      <w:proofErr w:type="spellStart"/>
      <w:r w:rsidR="00D753B9">
        <w:rPr>
          <w:lang w:val="en-US"/>
        </w:rPr>
        <w:t>Tongarew</w:t>
      </w:r>
      <w:r w:rsidRPr="00216268">
        <w:rPr>
          <w:lang w:val="en-US"/>
        </w:rPr>
        <w:t>a</w:t>
      </w:r>
      <w:proofErr w:type="spellEnd"/>
      <w:r w:rsidRPr="00216268">
        <w:rPr>
          <w:lang w:val="en-US"/>
        </w:rPr>
        <w:t xml:space="preserve"> in Wellington (2011), aims to highlight the vitality of Māori culture and the strength of its current aspirations, through the presentation of cultural treasures (</w:t>
      </w:r>
      <w:proofErr w:type="spellStart"/>
      <w:r w:rsidRPr="00216268">
        <w:rPr>
          <w:lang w:val="en-US"/>
        </w:rPr>
        <w:t>taonga</w:t>
      </w:r>
      <w:proofErr w:type="spellEnd"/>
      <w:r w:rsidRPr="00216268">
        <w:rPr>
          <w:lang w:val="en-US"/>
        </w:rPr>
        <w:t xml:space="preserve">), contemporary works of art and artifacts. The title of the exhibition powerfully reflects its political dimension, which includes the history of Māori struggle and claims for restitution. How is such an exhibition, originally rooted in a specific national context, transformed by its movement, being at once an object of different museum practices and subject to a different reception by audiences in diverse national contexts? What role does interpretation play in this process? </w:t>
      </w:r>
    </w:p>
    <w:p w:rsidR="00216268" w:rsidRPr="00216268" w:rsidRDefault="00216268" w:rsidP="00A00BAA">
      <w:pPr>
        <w:rPr>
          <w:lang w:val="en-US"/>
        </w:rPr>
      </w:pPr>
      <w:r w:rsidRPr="00216268">
        <w:rPr>
          <w:lang w:val="en-US"/>
        </w:rPr>
        <w:t xml:space="preserve">Drawing on the work of James Clifford, the study considers this touring exhibition as a mobile ‘contact zone’ and aims to understand how both museum professionals and visitors deal with </w:t>
      </w:r>
      <w:proofErr w:type="spellStart"/>
      <w:r w:rsidRPr="00216268">
        <w:rPr>
          <w:lang w:val="en-US"/>
        </w:rPr>
        <w:t>interculturality</w:t>
      </w:r>
      <w:proofErr w:type="spellEnd"/>
      <w:r w:rsidRPr="00216268">
        <w:rPr>
          <w:lang w:val="en-US"/>
        </w:rPr>
        <w:t>, and how related meanings and identities shift as the exhibition moves from one national context to the next. We seek to identify the movements made in definitions of Māori culture and understandings of the indigenous issues at the heart of the exhibition, both in its production (through conservation practices, design and interpretation at each site) and in its public reception (with French and Canadian audiences).</w:t>
      </w:r>
    </w:p>
    <w:p w:rsidR="00216268" w:rsidRDefault="00216268" w:rsidP="00A00BAA">
      <w:pPr>
        <w:rPr>
          <w:lang w:val="en-US"/>
        </w:rPr>
      </w:pPr>
      <w:r w:rsidRPr="00216268">
        <w:rPr>
          <w:lang w:val="en-US"/>
        </w:rPr>
        <w:t>The project’s multi-method approach combines both conventional quantitative visitor data with in-depth interviews of visitors and museum professionals across the three sites. A key aim of the project is to inform the ways in which interpretation in exhibitions of "the self", including hot cultural topics, can be adapted to effectively address diverse audiences and foster cross-cultural dialogue and understanding.</w:t>
      </w:r>
    </w:p>
    <w:p w:rsidR="00216268" w:rsidRPr="00E435E3" w:rsidRDefault="004D00AE" w:rsidP="00A00BAA">
      <w:pPr>
        <w:rPr>
          <w:b/>
          <w:bCs/>
          <w:smallCaps/>
          <w:color w:val="C0504D" w:themeColor="accent2"/>
          <w:spacing w:val="5"/>
          <w:u w:val="single"/>
        </w:rPr>
      </w:pPr>
      <w:r w:rsidRPr="004D00AE">
        <w:rPr>
          <w:rStyle w:val="Rfrenceintense"/>
        </w:rPr>
        <w:t>ANNEXE 1</w:t>
      </w:r>
    </w:p>
    <w:p w:rsidR="00803778" w:rsidRPr="004D00AE" w:rsidRDefault="00CC11A2" w:rsidP="00CC11A2">
      <w:pPr>
        <w:pStyle w:val="Titre3"/>
      </w:pPr>
      <w:bookmarkStart w:id="13" w:name="_Toc385923196"/>
      <w:r>
        <w:t>13. Rapports aux objets, scénographie et contextes institutionnels : l’exposition à Paris et Québec</w:t>
      </w:r>
      <w:bookmarkEnd w:id="13"/>
    </w:p>
    <w:p w:rsidR="007935E1" w:rsidRPr="00E435E3" w:rsidRDefault="004D00AE" w:rsidP="00A00BAA">
      <w:pPr>
        <w:rPr>
          <w:b/>
        </w:rPr>
      </w:pPr>
      <w:r w:rsidRPr="00E435E3">
        <w:rPr>
          <w:b/>
        </w:rPr>
        <w:t>Communication :</w:t>
      </w:r>
      <w:r w:rsidR="001E67F7">
        <w:t xml:space="preserve"> </w:t>
      </w:r>
      <w:proofErr w:type="spellStart"/>
      <w:r w:rsidRPr="007935E1">
        <w:t>Crenn</w:t>
      </w:r>
      <w:proofErr w:type="spellEnd"/>
      <w:r w:rsidRPr="007935E1">
        <w:t>, Gaëlle, Roustan, Mélanie, « </w:t>
      </w:r>
      <w:r w:rsidRPr="007935E1">
        <w:rPr>
          <w:bCs/>
          <w:lang w:eastAsia="ar-SA"/>
        </w:rPr>
        <w:t xml:space="preserve">L’exposition « Maori. E Tu </w:t>
      </w:r>
      <w:proofErr w:type="spellStart"/>
      <w:r w:rsidRPr="007935E1">
        <w:rPr>
          <w:bCs/>
          <w:lang w:eastAsia="ar-SA"/>
        </w:rPr>
        <w:t>Ake</w:t>
      </w:r>
      <w:proofErr w:type="spellEnd"/>
      <w:r w:rsidRPr="007935E1">
        <w:rPr>
          <w:bCs/>
          <w:lang w:eastAsia="ar-SA"/>
        </w:rPr>
        <w:t> », affirmation cult</w:t>
      </w:r>
      <w:r>
        <w:rPr>
          <w:bCs/>
          <w:lang w:eastAsia="ar-SA"/>
        </w:rPr>
        <w:t xml:space="preserve">urelle et politiques de l’art. </w:t>
      </w:r>
      <w:r w:rsidRPr="007935E1">
        <w:rPr>
          <w:bCs/>
          <w:lang w:eastAsia="ar-SA"/>
        </w:rPr>
        <w:t>Wellington, Paris, Québec : une approche comparative ».</w:t>
      </w:r>
      <w:r>
        <w:rPr>
          <w:lang w:eastAsia="ar-SA"/>
        </w:rPr>
        <w:t xml:space="preserve"> </w:t>
      </w:r>
      <w:r w:rsidR="007935E1">
        <w:t xml:space="preserve">Colloque </w:t>
      </w:r>
      <w:proofErr w:type="spellStart"/>
      <w:r w:rsidR="007935E1">
        <w:t>E-</w:t>
      </w:r>
      <w:r w:rsidR="007935E1" w:rsidRPr="00E435E3">
        <w:rPr>
          <w:b/>
        </w:rPr>
        <w:t>toile</w:t>
      </w:r>
      <w:proofErr w:type="spellEnd"/>
      <w:r w:rsidR="007935E1" w:rsidRPr="00E435E3">
        <w:rPr>
          <w:b/>
        </w:rPr>
        <w:t xml:space="preserve"> Pacifique 2013, Paris, EHESS, </w:t>
      </w:r>
      <w:r w:rsidRPr="00E435E3">
        <w:rPr>
          <w:b/>
        </w:rPr>
        <w:t xml:space="preserve">2-3 </w:t>
      </w:r>
      <w:r w:rsidR="007935E1" w:rsidRPr="00E435E3">
        <w:rPr>
          <w:b/>
        </w:rPr>
        <w:t>Octobre 2013.</w:t>
      </w:r>
    </w:p>
    <w:p w:rsidR="007935E1" w:rsidRPr="007935E1" w:rsidRDefault="007935E1" w:rsidP="00A00BAA">
      <w:pPr>
        <w:rPr>
          <w:lang w:eastAsia="ar-SA"/>
        </w:rPr>
      </w:pPr>
      <w:r w:rsidRPr="00E435E3">
        <w:rPr>
          <w:b/>
          <w:lang w:eastAsia="ar-SA"/>
        </w:rPr>
        <w:t>Session</w:t>
      </w:r>
      <w:r w:rsidRPr="007935E1">
        <w:rPr>
          <w:lang w:eastAsia="ar-SA"/>
        </w:rPr>
        <w:t xml:space="preserve"> : Arts, Cultures, Musées dans/sur le Pacifique (animée par Monique </w:t>
      </w:r>
      <w:proofErr w:type="spellStart"/>
      <w:r w:rsidRPr="007935E1">
        <w:rPr>
          <w:lang w:eastAsia="ar-SA"/>
        </w:rPr>
        <w:t>Jeudy-Ballini</w:t>
      </w:r>
      <w:proofErr w:type="spellEnd"/>
      <w:r w:rsidRPr="007935E1">
        <w:rPr>
          <w:lang w:eastAsia="ar-SA"/>
        </w:rPr>
        <w:t>)</w:t>
      </w:r>
    </w:p>
    <w:p w:rsidR="007935E1" w:rsidRPr="00CC11A2" w:rsidRDefault="007935E1" w:rsidP="00A00BAA">
      <w:pPr>
        <w:rPr>
          <w:lang w:eastAsia="ar-SA"/>
        </w:rPr>
      </w:pPr>
      <w:r w:rsidRPr="00E435E3">
        <w:rPr>
          <w:b/>
          <w:lang w:eastAsia="ar-SA"/>
        </w:rPr>
        <w:t>Résumé</w:t>
      </w:r>
      <w:r w:rsidR="00E435E3" w:rsidRPr="00E435E3">
        <w:rPr>
          <w:b/>
          <w:lang w:eastAsia="ar-SA"/>
        </w:rPr>
        <w:t> :</w:t>
      </w:r>
      <w:r w:rsidR="00E435E3">
        <w:rPr>
          <w:lang w:eastAsia="ar-SA"/>
        </w:rPr>
        <w:t xml:space="preserve"> </w:t>
      </w:r>
      <w:r w:rsidRPr="00CC11A2">
        <w:rPr>
          <w:lang w:eastAsia="ar-SA"/>
        </w:rPr>
        <w:t xml:space="preserve">L’exposition « E Tu </w:t>
      </w:r>
      <w:proofErr w:type="spellStart"/>
      <w:r w:rsidRPr="00CC11A2">
        <w:rPr>
          <w:lang w:eastAsia="ar-SA"/>
        </w:rPr>
        <w:t>Ake</w:t>
      </w:r>
      <w:proofErr w:type="spellEnd"/>
      <w:r w:rsidRPr="00CC11A2">
        <w:rPr>
          <w:lang w:eastAsia="ar-SA"/>
        </w:rPr>
        <w:t xml:space="preserve"> » (Maori debout) a été conçue par le Te Papa </w:t>
      </w:r>
      <w:proofErr w:type="spellStart"/>
      <w:r w:rsidRPr="00CC11A2">
        <w:rPr>
          <w:lang w:eastAsia="ar-SA"/>
        </w:rPr>
        <w:t>museum</w:t>
      </w:r>
      <w:proofErr w:type="spellEnd"/>
      <w:r w:rsidRPr="00CC11A2">
        <w:rPr>
          <w:lang w:eastAsia="ar-SA"/>
        </w:rPr>
        <w:t xml:space="preserve"> de Wellington, en Nouvelle-Zélande. Elle a ensuite été présentée en 2011 au musée du quai Branly, à Paris, et en 2013 au musée de la Civilisation de Québec. Dans ces trois contextes, nous avons étudié l’exposition, et tout particulièrement sa scénographie, et mené une double enquête de terrain : auprès des équipes des institutions et auprès des visiteurs. Nous nous proposons de présenter et de discuter quelques éléments issus de cette recherche comparative (menée en coopération avec Lee Davidson, de l’université Victoria de Wellington, et Natacha Gagné, de l’université de Laval à Québec). </w:t>
      </w:r>
    </w:p>
    <w:p w:rsidR="007E71B3" w:rsidRDefault="007935E1" w:rsidP="00A00BAA">
      <w:pPr>
        <w:rPr>
          <w:lang w:eastAsia="ar-SA"/>
        </w:rPr>
      </w:pPr>
      <w:r w:rsidRPr="00CC11A2">
        <w:rPr>
          <w:lang w:eastAsia="ar-SA"/>
        </w:rPr>
        <w:t xml:space="preserve">L’exposition « E Tu </w:t>
      </w:r>
      <w:proofErr w:type="spellStart"/>
      <w:r w:rsidRPr="00CC11A2">
        <w:rPr>
          <w:lang w:eastAsia="ar-SA"/>
        </w:rPr>
        <w:t>Ake</w:t>
      </w:r>
      <w:proofErr w:type="spellEnd"/>
      <w:r w:rsidRPr="00CC11A2">
        <w:rPr>
          <w:lang w:eastAsia="ar-SA"/>
        </w:rPr>
        <w:t xml:space="preserve"> » se veut un autoportrait des Maori. Elle articule la présentation d’artefacts anciens et contemporains à un propos centré sur la persistance culturelle, l’affirmation identitaire et les revendications politiques. Si les objets et le découpage conceptuel de l’exposition demeuraient inchangés entre Wellington, Paris et Québec, les scénographies étaient fort différentes – et, bien entendu, les contextes institutionnels autant que le cadre de la réception. Quels objets ont été choisis pour représenter la culture Maori ? Lesquels sont identifiés comme « objets d’art » ? Quelle </w:t>
      </w:r>
      <w:r w:rsidRPr="00CC11A2">
        <w:rPr>
          <w:lang w:eastAsia="ar-SA"/>
        </w:rPr>
        <w:lastRenderedPageBreak/>
        <w:t>place l’art tient-il dans le discours tenu par l’exposition sur la vitalité de la culture Maori ? Quels sont les liens opérés entre art et sacralité, entre art et politique ? Quels points communs et différences observe-t-on entre les trois contextes, néo-zélandais, français et québécois ?</w:t>
      </w:r>
    </w:p>
    <w:p w:rsidR="00604CB7" w:rsidRPr="00604CB7" w:rsidRDefault="00604CB7" w:rsidP="00604CB7">
      <w:pPr>
        <w:keepNext/>
        <w:keepLines/>
        <w:spacing w:before="200" w:after="0"/>
        <w:outlineLvl w:val="2"/>
        <w:rPr>
          <w:rFonts w:asciiTheme="majorHAnsi" w:eastAsia="Times New Roman" w:hAnsiTheme="majorHAnsi" w:cstheme="majorBidi"/>
          <w:b/>
          <w:bCs/>
          <w:color w:val="4F81BD" w:themeColor="accent1"/>
          <w:lang w:eastAsia="ar-SA"/>
        </w:rPr>
      </w:pPr>
      <w:bookmarkStart w:id="14" w:name="_Toc385923153"/>
      <w:bookmarkStart w:id="15" w:name="_Toc385923197"/>
      <w:r w:rsidRPr="00604CB7">
        <w:rPr>
          <w:rFonts w:asciiTheme="majorHAnsi" w:eastAsia="Times New Roman" w:hAnsiTheme="majorHAnsi" w:cstheme="majorBidi"/>
          <w:b/>
          <w:bCs/>
          <w:color w:val="4F81BD" w:themeColor="accent1"/>
          <w:lang w:eastAsia="ar-SA"/>
        </w:rPr>
        <w:t>Les transformations de l’exposition dans sa circulation</w:t>
      </w:r>
      <w:bookmarkEnd w:id="14"/>
      <w:bookmarkEnd w:id="15"/>
    </w:p>
    <w:p w:rsidR="00604CB7" w:rsidRPr="00604CB7" w:rsidRDefault="00604CB7" w:rsidP="00604CB7">
      <w:pPr>
        <w:rPr>
          <w:lang w:eastAsia="ar-SA"/>
        </w:rPr>
      </w:pPr>
      <w:r w:rsidRPr="00604CB7">
        <w:rPr>
          <w:lang w:eastAsia="ar-SA"/>
        </w:rPr>
        <w:t xml:space="preserve">La recherche se donne pour objectif de comprendre, comment, dans la circulation de l’exposition, sont produites et transformées des représentations du statut des objets, des pratiques professionnelles, et de la culture </w:t>
      </w:r>
      <w:proofErr w:type="spellStart"/>
      <w:r w:rsidRPr="00604CB7">
        <w:rPr>
          <w:lang w:eastAsia="ar-SA"/>
        </w:rPr>
        <w:t>māori</w:t>
      </w:r>
      <w:proofErr w:type="spellEnd"/>
      <w:r w:rsidRPr="00604CB7">
        <w:rPr>
          <w:lang w:eastAsia="ar-SA"/>
        </w:rPr>
        <w:t xml:space="preserve">. </w:t>
      </w:r>
      <w:r w:rsidRPr="00604CB7">
        <w:rPr>
          <w:rFonts w:cs="Times New Roman"/>
          <w:lang w:eastAsia="ar-SA"/>
        </w:rPr>
        <w:t>Si les objets et le découpage conceptuel de l’exposition demeuraient inchangés entre Wellington, Paris et Québec, les scénographies y sont fort différentes – et, bien entendu, les contextes institutionnels autant que le cadre de la réception.</w:t>
      </w:r>
      <w:r w:rsidRPr="00604CB7">
        <w:rPr>
          <w:lang w:eastAsia="ar-SA"/>
        </w:rPr>
        <w:t xml:space="preserve"> </w:t>
      </w:r>
    </w:p>
    <w:p w:rsidR="00604CB7" w:rsidRPr="00604CB7" w:rsidRDefault="00604CB7" w:rsidP="00604CB7">
      <w:pPr>
        <w:rPr>
          <w:lang w:eastAsia="fr-FR"/>
        </w:rPr>
      </w:pPr>
      <w:bookmarkStart w:id="16" w:name="_Toc379973340"/>
      <w:r w:rsidRPr="00604CB7">
        <w:rPr>
          <w:lang w:eastAsia="fr-FR"/>
        </w:rPr>
        <w:t xml:space="preserve">Quelles sont les représentations de la culture </w:t>
      </w:r>
      <w:proofErr w:type="spellStart"/>
      <w:r w:rsidRPr="00604CB7">
        <w:rPr>
          <w:lang w:eastAsia="fr-FR"/>
        </w:rPr>
        <w:t>māori</w:t>
      </w:r>
      <w:proofErr w:type="spellEnd"/>
      <w:r w:rsidRPr="00604CB7">
        <w:rPr>
          <w:lang w:eastAsia="fr-FR"/>
        </w:rPr>
        <w:t xml:space="preserve"> que donne l’exposition ?</w:t>
      </w:r>
      <w:bookmarkStart w:id="17" w:name="_Toc379973341"/>
      <w:bookmarkEnd w:id="16"/>
      <w:r w:rsidRPr="00604CB7">
        <w:rPr>
          <w:lang w:eastAsia="fr-FR"/>
        </w:rPr>
        <w:t xml:space="preserve"> Quelles sont les conceptions de la « culture », du « patrimoine », des « objets » qui sont discutées et négociées au cours de la circulation de l’exposition, en fonction de ses conditions d’accueil dans le musée hôte,  des pratiques muséographiques </w:t>
      </w:r>
      <w:bookmarkEnd w:id="17"/>
      <w:r w:rsidRPr="00604CB7">
        <w:rPr>
          <w:lang w:eastAsia="fr-FR"/>
        </w:rPr>
        <w:t xml:space="preserve">locales, des contextes institutionnels et plus largement politiques ? </w:t>
      </w:r>
      <w:r w:rsidRPr="00604CB7">
        <w:rPr>
          <w:rFonts w:eastAsia="Times New Roman" w:cs="Times New Roman"/>
          <w:lang w:eastAsia="ar-SA"/>
        </w:rPr>
        <w:t xml:space="preserve">Dans les trois contextes, nous avons étudié l’exposition, et tout particulièrement sa scénographie, et mené une double enquête de terrain : auprès des équipes des institutions et auprès des visiteurs. Nous nous sommes d’abord demandé quels objets ont été choisis pour représenter la culture </w:t>
      </w:r>
      <w:proofErr w:type="spellStart"/>
      <w:r w:rsidRPr="00604CB7">
        <w:rPr>
          <w:rFonts w:eastAsia="Times New Roman" w:cs="Times New Roman"/>
          <w:lang w:eastAsia="ar-SA"/>
        </w:rPr>
        <w:t>Māori</w:t>
      </w:r>
      <w:proofErr w:type="spellEnd"/>
      <w:r w:rsidRPr="00604CB7">
        <w:rPr>
          <w:rFonts w:eastAsia="Times New Roman" w:cs="Times New Roman"/>
          <w:lang w:eastAsia="ar-SA"/>
        </w:rPr>
        <w:t>. Lesquels sont identifiés comme « objets d’art » ? Quelle place l’art tient-il dans le discours tenu par l’exposition sur la vitalité de la culture Maori ? Quels sont les liens opérés entre art et sacralité, entre art et politique ? Quels points communs et différences observe-t-on entre les trois contextes, néo-zélandais, français et québécois ?</w:t>
      </w:r>
    </w:p>
    <w:p w:rsidR="00604CB7" w:rsidRPr="00604CB7" w:rsidRDefault="00604CB7" w:rsidP="00604CB7">
      <w:pPr>
        <w:rPr>
          <w:lang w:eastAsia="ar-SA"/>
        </w:rPr>
      </w:pPr>
      <w:r w:rsidRPr="00604CB7">
        <w:rPr>
          <w:lang w:eastAsia="ar-SA"/>
        </w:rPr>
        <w:t xml:space="preserve">Nous avons analysé dans les trois présentations de l’exposition le design scénographique (présentation des objets et ambiance) et le contexte institutionnel de la présentation. Nous avons également procédé au relevé des occurrences du terme « art » et de ses qualifications dans le méta discours (catalogue, numéro spécial de </w:t>
      </w:r>
      <w:proofErr w:type="spellStart"/>
      <w:r w:rsidRPr="00604CB7">
        <w:rPr>
          <w:lang w:eastAsia="ar-SA"/>
        </w:rPr>
        <w:t>Beaux Arts</w:t>
      </w:r>
      <w:proofErr w:type="spellEnd"/>
      <w:r w:rsidRPr="00604CB7">
        <w:rPr>
          <w:lang w:eastAsia="ar-SA"/>
        </w:rPr>
        <w:t xml:space="preserve"> Magazine consacré à l’exposition au Musée du Quai Branly) et dans la communication.</w:t>
      </w:r>
    </w:p>
    <w:p w:rsidR="00604CB7" w:rsidRPr="00604CB7" w:rsidRDefault="00604CB7" w:rsidP="00604CB7">
      <w:pPr>
        <w:rPr>
          <w:lang w:eastAsia="ar-SA"/>
        </w:rPr>
      </w:pPr>
      <w:r w:rsidRPr="00604CB7">
        <w:rPr>
          <w:lang w:eastAsia="ar-SA"/>
        </w:rPr>
        <w:t>Après avoir présenté l’exposition, nous évoquons trois dimensions principales dans la production : les objets, la scénographie, et le contexte institutionnel, avant de conclure.</w:t>
      </w:r>
    </w:p>
    <w:p w:rsidR="00604CB7" w:rsidRPr="00604CB7" w:rsidRDefault="00604CB7" w:rsidP="00604CB7">
      <w:pPr>
        <w:keepNext/>
        <w:keepLines/>
        <w:spacing w:before="200" w:after="0"/>
        <w:outlineLvl w:val="2"/>
        <w:rPr>
          <w:rFonts w:asciiTheme="majorHAnsi" w:eastAsia="Times New Roman" w:hAnsiTheme="majorHAnsi" w:cstheme="majorBidi"/>
          <w:b/>
          <w:bCs/>
          <w:color w:val="4F81BD" w:themeColor="accent1"/>
          <w:lang w:eastAsia="ar-SA"/>
        </w:rPr>
      </w:pPr>
      <w:bookmarkStart w:id="18" w:name="_Toc385923154"/>
      <w:bookmarkStart w:id="19" w:name="_Toc385923198"/>
      <w:r w:rsidRPr="00604CB7">
        <w:rPr>
          <w:rFonts w:asciiTheme="majorHAnsi" w:eastAsia="Times New Roman" w:hAnsiTheme="majorHAnsi" w:cstheme="majorBidi"/>
          <w:b/>
          <w:bCs/>
          <w:color w:val="4F81BD" w:themeColor="accent1"/>
          <w:lang w:eastAsia="ar-SA"/>
        </w:rPr>
        <w:t>Une exposition « clé en main », typique et exemplaire du savoir-faire du Te Papa</w:t>
      </w:r>
      <w:bookmarkEnd w:id="18"/>
      <w:bookmarkEnd w:id="19"/>
    </w:p>
    <w:p w:rsidR="00604CB7" w:rsidRPr="00604CB7" w:rsidRDefault="00604CB7" w:rsidP="00604CB7">
      <w:pPr>
        <w:suppressAutoHyphens/>
        <w:spacing w:after="0" w:line="240" w:lineRule="auto"/>
        <w:rPr>
          <w:rFonts w:eastAsia="Times New Roman" w:cs="Calibri"/>
          <w:bCs/>
          <w:lang w:eastAsia="ar-SA"/>
        </w:rPr>
      </w:pPr>
    </w:p>
    <w:p w:rsidR="00604CB7" w:rsidRPr="00604CB7" w:rsidRDefault="00604CB7" w:rsidP="00604CB7">
      <w:pPr>
        <w:rPr>
          <w:lang w:eastAsia="ar-SA"/>
        </w:rPr>
      </w:pPr>
      <w:r w:rsidRPr="00604CB7">
        <w:rPr>
          <w:lang w:eastAsia="ar-SA"/>
        </w:rPr>
        <w:t xml:space="preserve">L’exposition « E </w:t>
      </w:r>
      <w:proofErr w:type="spellStart"/>
      <w:r w:rsidRPr="00604CB7">
        <w:rPr>
          <w:lang w:eastAsia="ar-SA"/>
        </w:rPr>
        <w:t>tū</w:t>
      </w:r>
      <w:proofErr w:type="spellEnd"/>
      <w:r w:rsidRPr="00604CB7">
        <w:rPr>
          <w:lang w:eastAsia="ar-SA"/>
        </w:rPr>
        <w:t xml:space="preserve"> </w:t>
      </w:r>
      <w:proofErr w:type="spellStart"/>
      <w:r w:rsidRPr="00604CB7">
        <w:rPr>
          <w:lang w:eastAsia="ar-SA"/>
        </w:rPr>
        <w:t>Ake</w:t>
      </w:r>
      <w:proofErr w:type="spellEnd"/>
      <w:r w:rsidRPr="00604CB7">
        <w:rPr>
          <w:lang w:eastAsia="ar-SA"/>
        </w:rPr>
        <w:t xml:space="preserve"> </w:t>
      </w:r>
      <w:proofErr w:type="gramStart"/>
      <w:r w:rsidRPr="00604CB7">
        <w:rPr>
          <w:lang w:eastAsia="ar-SA"/>
        </w:rPr>
        <w:t>( Standing</w:t>
      </w:r>
      <w:proofErr w:type="gramEnd"/>
      <w:r w:rsidRPr="00604CB7">
        <w:rPr>
          <w:lang w:eastAsia="ar-SA"/>
        </w:rPr>
        <w:t xml:space="preserve"> </w:t>
      </w:r>
      <w:proofErr w:type="spellStart"/>
      <w:r w:rsidRPr="00604CB7">
        <w:rPr>
          <w:lang w:eastAsia="ar-SA"/>
        </w:rPr>
        <w:t>Strong</w:t>
      </w:r>
      <w:proofErr w:type="spellEnd"/>
      <w:r w:rsidRPr="00604CB7">
        <w:rPr>
          <w:lang w:eastAsia="ar-SA"/>
        </w:rPr>
        <w:t>) » résulte de l’adaptation d’une exposition antérieure, intitulée « </w:t>
      </w:r>
      <w:proofErr w:type="spellStart"/>
      <w:r w:rsidRPr="00604CB7">
        <w:rPr>
          <w:lang w:eastAsia="ar-SA"/>
        </w:rPr>
        <w:t>Mauri</w:t>
      </w:r>
      <w:proofErr w:type="spellEnd"/>
      <w:r w:rsidRPr="00604CB7">
        <w:rPr>
          <w:lang w:eastAsia="ar-SA"/>
        </w:rPr>
        <w:t xml:space="preserve"> </w:t>
      </w:r>
      <w:proofErr w:type="spellStart"/>
      <w:r w:rsidRPr="00604CB7">
        <w:rPr>
          <w:lang w:eastAsia="ar-SA"/>
        </w:rPr>
        <w:t>Ora</w:t>
      </w:r>
      <w:proofErr w:type="spellEnd"/>
      <w:r w:rsidRPr="00604CB7">
        <w:rPr>
          <w:lang w:eastAsia="ar-SA"/>
        </w:rPr>
        <w:t xml:space="preserve"> : Trésors </w:t>
      </w:r>
      <w:proofErr w:type="spellStart"/>
      <w:r w:rsidRPr="00604CB7">
        <w:rPr>
          <w:lang w:eastAsia="ar-SA"/>
        </w:rPr>
        <w:t>māori</w:t>
      </w:r>
      <w:proofErr w:type="spellEnd"/>
      <w:r w:rsidRPr="00604CB7">
        <w:rPr>
          <w:lang w:eastAsia="ar-SA"/>
        </w:rPr>
        <w:t xml:space="preserve"> du Musée National de Nouvelle Zélande Te Papa </w:t>
      </w:r>
      <w:proofErr w:type="spellStart"/>
      <w:r w:rsidRPr="00604CB7">
        <w:rPr>
          <w:lang w:eastAsia="ar-SA"/>
        </w:rPr>
        <w:t>Tongarewa</w:t>
      </w:r>
      <w:proofErr w:type="spellEnd"/>
      <w:r w:rsidRPr="00604CB7">
        <w:rPr>
          <w:lang w:eastAsia="ar-SA"/>
        </w:rPr>
        <w:t xml:space="preserve"> », présentée au Japon (2007). Au Te Papa, l’idée a germé de retravailler cette exposition en vue d’une tournée internationale. On peut penser qu’a pu peser dans cette décision le précédent qu’a constitué au milieu des années 1980 la tournée de l’exposition « Te </w:t>
      </w:r>
      <w:proofErr w:type="spellStart"/>
      <w:r w:rsidRPr="00604CB7">
        <w:rPr>
          <w:lang w:eastAsia="ar-SA"/>
        </w:rPr>
        <w:t>Māori</w:t>
      </w:r>
      <w:proofErr w:type="spellEnd"/>
      <w:r w:rsidRPr="00604CB7">
        <w:rPr>
          <w:lang w:eastAsia="ar-SA"/>
        </w:rPr>
        <w:t xml:space="preserve"> » (notamment au </w:t>
      </w:r>
      <w:proofErr w:type="spellStart"/>
      <w:r w:rsidRPr="00604CB7">
        <w:rPr>
          <w:lang w:eastAsia="ar-SA"/>
        </w:rPr>
        <w:t>Metropolitan</w:t>
      </w:r>
      <w:proofErr w:type="spellEnd"/>
      <w:r w:rsidRPr="00604CB7">
        <w:rPr>
          <w:lang w:eastAsia="ar-SA"/>
        </w:rPr>
        <w:t xml:space="preserve"> Museum à New York), événement considéré comme un tournant dans la reconnaissance internationale de la Nouvelle Zélande en général et de la culture </w:t>
      </w:r>
      <w:proofErr w:type="spellStart"/>
      <w:r w:rsidRPr="00604CB7">
        <w:rPr>
          <w:lang w:eastAsia="ar-SA"/>
        </w:rPr>
        <w:t>māori</w:t>
      </w:r>
      <w:proofErr w:type="spellEnd"/>
      <w:r w:rsidRPr="00604CB7">
        <w:rPr>
          <w:lang w:eastAsia="ar-SA"/>
        </w:rPr>
        <w:t xml:space="preserve"> en particulier (McCarthy, 2011). </w:t>
      </w:r>
    </w:p>
    <w:p w:rsidR="00604CB7" w:rsidRPr="00604CB7" w:rsidRDefault="00604CB7" w:rsidP="00604CB7">
      <w:pPr>
        <w:rPr>
          <w:lang w:eastAsia="ar-SA"/>
        </w:rPr>
      </w:pPr>
      <w:r w:rsidRPr="00604CB7">
        <w:rPr>
          <w:lang w:eastAsia="ar-SA"/>
        </w:rPr>
        <w:t xml:space="preserve">Inauguré en 1998, le musée national Te Papa </w:t>
      </w:r>
      <w:proofErr w:type="spellStart"/>
      <w:r w:rsidRPr="00604CB7">
        <w:rPr>
          <w:lang w:eastAsia="ar-SA"/>
        </w:rPr>
        <w:t>Tongarewa</w:t>
      </w:r>
      <w:proofErr w:type="spellEnd"/>
      <w:r w:rsidRPr="00604CB7">
        <w:rPr>
          <w:lang w:eastAsia="ar-SA"/>
        </w:rPr>
        <w:t>, situé à Wellington, est un musée binational, lieu d’affirmatio</w:t>
      </w:r>
      <w:r w:rsidRPr="00604CB7">
        <w:t xml:space="preserve">n </w:t>
      </w:r>
      <w:r w:rsidRPr="00604CB7">
        <w:rPr>
          <w:lang w:eastAsia="ar-SA"/>
        </w:rPr>
        <w:t xml:space="preserve">du récit national de </w:t>
      </w:r>
      <w:proofErr w:type="spellStart"/>
      <w:r w:rsidRPr="00604CB7">
        <w:rPr>
          <w:lang w:eastAsia="ar-SA"/>
        </w:rPr>
        <w:t>Aotearea</w:t>
      </w:r>
      <w:proofErr w:type="spellEnd"/>
      <w:r w:rsidRPr="00604CB7">
        <w:rPr>
          <w:lang w:eastAsia="ar-SA"/>
        </w:rPr>
        <w:t xml:space="preserve"> - Nouvelle Zélande. Très populaire, familièrement appelée « Our place », le musée est un des lieux de reconnaissance et d’affirmation des </w:t>
      </w:r>
      <w:proofErr w:type="spellStart"/>
      <w:r w:rsidRPr="00604CB7">
        <w:rPr>
          <w:lang w:eastAsia="ar-SA"/>
        </w:rPr>
        <w:t>Māori</w:t>
      </w:r>
      <w:proofErr w:type="spellEnd"/>
      <w:r w:rsidRPr="00604CB7">
        <w:rPr>
          <w:lang w:eastAsia="ar-SA"/>
        </w:rPr>
        <w:t xml:space="preserve"> comme membres fondateur à part entière de la nation néo-zélandaise.</w:t>
      </w:r>
    </w:p>
    <w:p w:rsidR="00604CB7" w:rsidRPr="00604CB7" w:rsidRDefault="00604CB7" w:rsidP="00604CB7">
      <w:pPr>
        <w:rPr>
          <w:lang w:eastAsia="ar-SA"/>
        </w:rPr>
      </w:pPr>
      <w:r w:rsidRPr="00604CB7">
        <w:rPr>
          <w:lang w:eastAsia="ar-SA"/>
        </w:rPr>
        <w:lastRenderedPageBreak/>
        <w:t xml:space="preserve">Les différentes parties du musée permettent de raconter le récit national selon plusieurs perspectives, qui tantôt </w:t>
      </w:r>
      <w:proofErr w:type="spellStart"/>
      <w:r w:rsidRPr="00604CB7">
        <w:rPr>
          <w:lang w:eastAsia="ar-SA"/>
        </w:rPr>
        <w:t>co-existent</w:t>
      </w:r>
      <w:proofErr w:type="spellEnd"/>
      <w:r w:rsidRPr="00604CB7">
        <w:rPr>
          <w:lang w:eastAsia="ar-SA"/>
        </w:rPr>
        <w:t xml:space="preserve">, et tantôt, s’intègrent partiellement : celle des Néo-Zélandais d’ascendance européenne, descendants des colons pionniers (appelé en langage </w:t>
      </w:r>
      <w:proofErr w:type="spellStart"/>
      <w:r w:rsidRPr="00604CB7">
        <w:rPr>
          <w:lang w:eastAsia="ar-SA"/>
        </w:rPr>
        <w:t>māori</w:t>
      </w:r>
      <w:proofErr w:type="spellEnd"/>
      <w:r w:rsidRPr="00604CB7">
        <w:rPr>
          <w:lang w:eastAsia="ar-SA"/>
        </w:rPr>
        <w:t xml:space="preserve"> les </w:t>
      </w:r>
      <w:proofErr w:type="spellStart"/>
      <w:r w:rsidRPr="00604CB7">
        <w:rPr>
          <w:lang w:eastAsia="ar-SA"/>
        </w:rPr>
        <w:t>Pakeha</w:t>
      </w:r>
      <w:proofErr w:type="spellEnd"/>
      <w:r w:rsidRPr="00604CB7">
        <w:rPr>
          <w:lang w:eastAsia="ar-SA"/>
        </w:rPr>
        <w:t>), celle des Maoris, celle des habitants du Pacifique.</w:t>
      </w:r>
    </w:p>
    <w:p w:rsidR="00604CB7" w:rsidRPr="00604CB7" w:rsidRDefault="00604CB7" w:rsidP="00604CB7">
      <w:pPr>
        <w:rPr>
          <w:lang w:eastAsia="ar-SA"/>
        </w:rPr>
      </w:pPr>
      <w:r w:rsidRPr="00604CB7">
        <w:rPr>
          <w:lang w:eastAsia="ar-SA"/>
        </w:rPr>
        <w:t xml:space="preserve">Le Te Papa se distingue par une organisation et des pratiques professionnelles singulières, caractéristiques de la muséologie participative : des leaders </w:t>
      </w:r>
      <w:proofErr w:type="spellStart"/>
      <w:r w:rsidRPr="00604CB7">
        <w:rPr>
          <w:lang w:eastAsia="ar-SA"/>
        </w:rPr>
        <w:t>māori</w:t>
      </w:r>
      <w:proofErr w:type="spellEnd"/>
      <w:r w:rsidRPr="00604CB7">
        <w:rPr>
          <w:lang w:eastAsia="ar-SA"/>
        </w:rPr>
        <w:t xml:space="preserve"> sont associés à titre d’expert au plus haut niveau de la direction. Parmi le personnel de conservation, des gardiens </w:t>
      </w:r>
      <w:proofErr w:type="spellStart"/>
      <w:r w:rsidRPr="00604CB7">
        <w:rPr>
          <w:lang w:eastAsia="ar-SA"/>
        </w:rPr>
        <w:t>māori</w:t>
      </w:r>
      <w:proofErr w:type="spellEnd"/>
      <w:r w:rsidRPr="00604CB7">
        <w:rPr>
          <w:lang w:eastAsia="ar-SA"/>
        </w:rPr>
        <w:t xml:space="preserve"> effectuent les rites nécessaires pour traiter correctement les </w:t>
      </w:r>
      <w:proofErr w:type="spellStart"/>
      <w:r w:rsidRPr="00604CB7">
        <w:rPr>
          <w:i/>
          <w:lang w:eastAsia="ar-SA"/>
        </w:rPr>
        <w:t>taonga</w:t>
      </w:r>
      <w:proofErr w:type="spellEnd"/>
      <w:r w:rsidRPr="00604CB7">
        <w:rPr>
          <w:lang w:eastAsia="ar-SA"/>
        </w:rPr>
        <w:t xml:space="preserve"> (trésors culturels) présents dans le musée. Il s’agit d’assurer leur bonne préservation, non seulement physique mais également spirituelle : d’assurer la préservation de leur force vitale (</w:t>
      </w:r>
      <w:proofErr w:type="spellStart"/>
      <w:r w:rsidRPr="00604CB7">
        <w:rPr>
          <w:i/>
          <w:lang w:eastAsia="ar-SA"/>
        </w:rPr>
        <w:t>mauri</w:t>
      </w:r>
      <w:proofErr w:type="spellEnd"/>
      <w:r w:rsidRPr="00604CB7">
        <w:rPr>
          <w:i/>
          <w:lang w:eastAsia="ar-SA"/>
        </w:rPr>
        <w:t>).</w:t>
      </w:r>
    </w:p>
    <w:p w:rsidR="00604CB7" w:rsidRPr="00604CB7" w:rsidRDefault="00604CB7" w:rsidP="00604CB7">
      <w:pPr>
        <w:rPr>
          <w:lang w:eastAsia="ar-SA"/>
        </w:rPr>
      </w:pPr>
      <w:r w:rsidRPr="00604CB7">
        <w:rPr>
          <w:lang w:eastAsia="ar-SA"/>
        </w:rPr>
        <w:t xml:space="preserve">L’exposition « E </w:t>
      </w:r>
      <w:proofErr w:type="spellStart"/>
      <w:r w:rsidRPr="00604CB7">
        <w:rPr>
          <w:lang w:eastAsia="ar-SA"/>
        </w:rPr>
        <w:t>tū</w:t>
      </w:r>
      <w:proofErr w:type="spellEnd"/>
      <w:r w:rsidRPr="00604CB7">
        <w:rPr>
          <w:lang w:eastAsia="ar-SA"/>
        </w:rPr>
        <w:t xml:space="preserve"> </w:t>
      </w:r>
      <w:proofErr w:type="spellStart"/>
      <w:r w:rsidRPr="00604CB7">
        <w:rPr>
          <w:lang w:eastAsia="ar-SA"/>
        </w:rPr>
        <w:t>Ake</w:t>
      </w:r>
      <w:proofErr w:type="spellEnd"/>
      <w:r w:rsidRPr="00604CB7">
        <w:rPr>
          <w:lang w:eastAsia="ar-SA"/>
        </w:rPr>
        <w:t> » a été conçue et produite par un groupe de pilotage (</w:t>
      </w:r>
      <w:proofErr w:type="spellStart"/>
      <w:r w:rsidRPr="00604CB7">
        <w:rPr>
          <w:i/>
          <w:lang w:eastAsia="ar-SA"/>
        </w:rPr>
        <w:t>steering</w:t>
      </w:r>
      <w:proofErr w:type="spellEnd"/>
      <w:r w:rsidRPr="00604CB7">
        <w:rPr>
          <w:i/>
          <w:lang w:eastAsia="ar-SA"/>
        </w:rPr>
        <w:t xml:space="preserve"> group</w:t>
      </w:r>
      <w:r w:rsidRPr="00604CB7">
        <w:rPr>
          <w:lang w:eastAsia="ar-SA"/>
        </w:rPr>
        <w:t xml:space="preserve">)  composé majoritairement de </w:t>
      </w:r>
      <w:proofErr w:type="spellStart"/>
      <w:r w:rsidRPr="00604CB7">
        <w:rPr>
          <w:lang w:eastAsia="ar-SA"/>
        </w:rPr>
        <w:t>Māori</w:t>
      </w:r>
      <w:proofErr w:type="spellEnd"/>
      <w:r w:rsidRPr="00604CB7">
        <w:rPr>
          <w:lang w:eastAsia="ar-SA"/>
        </w:rPr>
        <w:t xml:space="preserve"> travaillant au </w:t>
      </w:r>
      <w:proofErr w:type="gramStart"/>
      <w:r w:rsidRPr="00604CB7">
        <w:rPr>
          <w:lang w:eastAsia="ar-SA"/>
        </w:rPr>
        <w:t>musée ,</w:t>
      </w:r>
      <w:proofErr w:type="gramEnd"/>
      <w:r w:rsidRPr="00604CB7">
        <w:rPr>
          <w:lang w:eastAsia="ar-SA"/>
        </w:rPr>
        <w:t xml:space="preserve"> et des leaders de tribus (</w:t>
      </w:r>
      <w:proofErr w:type="spellStart"/>
      <w:r w:rsidRPr="00604CB7">
        <w:rPr>
          <w:i/>
          <w:lang w:eastAsia="ar-SA"/>
        </w:rPr>
        <w:t>iwi</w:t>
      </w:r>
      <w:proofErr w:type="spellEnd"/>
      <w:r w:rsidRPr="00604CB7">
        <w:rPr>
          <w:lang w:eastAsia="ar-SA"/>
        </w:rPr>
        <w:t xml:space="preserve">) qui été consultés. Considérée comme une exposition« clé en mains », conçue avant tout pour une itinérance étrangère, l’exposition, lors du son montage à l’étranger a été à chaque fois supervisée par une délégation </w:t>
      </w:r>
      <w:proofErr w:type="spellStart"/>
      <w:r w:rsidRPr="00604CB7">
        <w:rPr>
          <w:lang w:eastAsia="ar-SA"/>
        </w:rPr>
        <w:t>māori</w:t>
      </w:r>
      <w:proofErr w:type="spellEnd"/>
      <w:r w:rsidRPr="00604CB7">
        <w:rPr>
          <w:lang w:eastAsia="ar-SA"/>
        </w:rPr>
        <w:t>.</w:t>
      </w:r>
    </w:p>
    <w:p w:rsidR="00604CB7" w:rsidRPr="00604CB7" w:rsidRDefault="00604CB7" w:rsidP="00604CB7">
      <w:pPr>
        <w:suppressAutoHyphens/>
        <w:spacing w:after="0" w:line="240" w:lineRule="auto"/>
        <w:rPr>
          <w:rFonts w:eastAsia="Times New Roman" w:cs="Calibri"/>
          <w:bCs/>
          <w:lang w:eastAsia="ar-SA"/>
        </w:rPr>
      </w:pPr>
      <w:r w:rsidRPr="00604CB7">
        <w:rPr>
          <w:rFonts w:eastAsia="Times New Roman" w:cs="Calibri"/>
          <w:bCs/>
          <w:lang w:eastAsia="ar-SA"/>
        </w:rPr>
        <w:t>Le propos de l’exposition est centré sur la persistance culturelle, l’affirmation identitaire et les revendications politiques</w:t>
      </w:r>
    </w:p>
    <w:p w:rsidR="00604CB7" w:rsidRPr="00604CB7" w:rsidRDefault="00604CB7" w:rsidP="00604CB7">
      <w:pPr>
        <w:suppressAutoHyphens/>
        <w:spacing w:after="0" w:line="240" w:lineRule="auto"/>
        <w:rPr>
          <w:rFonts w:eastAsia="Times New Roman" w:cs="Times New Roman"/>
          <w:lang w:eastAsia="ar-SA"/>
        </w:rPr>
      </w:pPr>
    </w:p>
    <w:p w:rsidR="00604CB7" w:rsidRPr="00604CB7" w:rsidRDefault="00604CB7" w:rsidP="00604CB7">
      <w:pPr>
        <w:rPr>
          <w:lang w:eastAsia="ar-SA"/>
        </w:rPr>
      </w:pPr>
      <w:bookmarkStart w:id="20" w:name="_Toc368490589"/>
      <w:bookmarkStart w:id="21" w:name="_Toc368490799"/>
      <w:r w:rsidRPr="00604CB7">
        <w:rPr>
          <w:lang w:eastAsia="ar-SA"/>
        </w:rPr>
        <w:t>Concernant la perspective énonciative</w:t>
      </w:r>
      <w:bookmarkEnd w:id="20"/>
      <w:bookmarkEnd w:id="21"/>
      <w:r w:rsidRPr="00604CB7">
        <w:rPr>
          <w:lang w:eastAsia="ar-SA"/>
        </w:rPr>
        <w:t xml:space="preserve">, l’exposition est présentée d’emblée comme exprimant « un point de vue </w:t>
      </w:r>
      <w:proofErr w:type="spellStart"/>
      <w:r w:rsidRPr="00604CB7">
        <w:rPr>
          <w:lang w:eastAsia="ar-SA"/>
        </w:rPr>
        <w:t>māori</w:t>
      </w:r>
      <w:proofErr w:type="spellEnd"/>
      <w:r w:rsidRPr="00604CB7">
        <w:rPr>
          <w:lang w:eastAsia="ar-SA"/>
        </w:rPr>
        <w:t xml:space="preserve"> contemporain », dressant un tableau de « la culture vivante de dynamique des Maoris, le peuple autochtone de </w:t>
      </w:r>
      <w:proofErr w:type="spellStart"/>
      <w:r w:rsidRPr="00604CB7">
        <w:rPr>
          <w:lang w:eastAsia="ar-SA"/>
        </w:rPr>
        <w:t>Aotearoa</w:t>
      </w:r>
      <w:proofErr w:type="spellEnd"/>
      <w:r w:rsidRPr="00604CB7">
        <w:rPr>
          <w:lang w:eastAsia="ar-SA"/>
        </w:rPr>
        <w:t xml:space="preserve">-Nouvelle-Zélande » (Catalogue, version anglaise, Introduction, p.12), et de ses aspirations. Selon la commissaire et auteure du catalogue </w:t>
      </w:r>
      <w:proofErr w:type="spellStart"/>
      <w:r w:rsidRPr="00604CB7">
        <w:rPr>
          <w:lang w:eastAsia="ar-SA"/>
        </w:rPr>
        <w:t>Huhanah</w:t>
      </w:r>
      <w:proofErr w:type="spellEnd"/>
      <w:r w:rsidRPr="00604CB7">
        <w:rPr>
          <w:lang w:eastAsia="ar-SA"/>
        </w:rPr>
        <w:t xml:space="preserve"> Smith</w:t>
      </w:r>
      <w:r w:rsidRPr="00604CB7">
        <w:rPr>
          <w:vertAlign w:val="superscript"/>
          <w:lang w:eastAsia="ar-SA"/>
        </w:rPr>
        <w:footnoteReference w:id="2"/>
      </w:r>
      <w:r w:rsidRPr="00604CB7">
        <w:rPr>
          <w:lang w:eastAsia="ar-SA"/>
        </w:rPr>
        <w:t xml:space="preserve">, elle a pour thème majeur « la quête de l’auto-détermination des </w:t>
      </w:r>
      <w:proofErr w:type="spellStart"/>
      <w:r w:rsidRPr="00604CB7">
        <w:rPr>
          <w:lang w:eastAsia="ar-SA"/>
        </w:rPr>
        <w:t>Māori</w:t>
      </w:r>
      <w:proofErr w:type="spellEnd"/>
      <w:r w:rsidRPr="00604CB7">
        <w:rPr>
          <w:lang w:eastAsia="ar-SA"/>
        </w:rPr>
        <w:t xml:space="preserve"> » (Catalogue, préface, p. 10). Elle est de plus « faite par les </w:t>
      </w:r>
      <w:proofErr w:type="spellStart"/>
      <w:r w:rsidRPr="00604CB7">
        <w:rPr>
          <w:lang w:eastAsia="ar-SA"/>
        </w:rPr>
        <w:t>Māori</w:t>
      </w:r>
      <w:proofErr w:type="spellEnd"/>
      <w:r w:rsidRPr="00604CB7">
        <w:rPr>
          <w:lang w:eastAsia="ar-SA"/>
        </w:rPr>
        <w:t xml:space="preserve"> eux-mêmes », qui s’expriment eux-mêmes sur ce qu’est leur culture. On peut noter que cette perspective est éloignée d’une approche du dialogue des cultures, telle que la défend le musée du quai Branly.</w:t>
      </w:r>
    </w:p>
    <w:p w:rsidR="00604CB7" w:rsidRPr="00604CB7" w:rsidRDefault="00604CB7" w:rsidP="00604CB7">
      <w:pPr>
        <w:suppressAutoHyphens/>
        <w:spacing w:after="0" w:line="240" w:lineRule="auto"/>
        <w:rPr>
          <w:rFonts w:eastAsia="Times New Roman" w:cs="Calibri"/>
          <w:bCs/>
          <w:lang w:eastAsia="ar-SA"/>
        </w:rPr>
      </w:pPr>
      <w:r w:rsidRPr="00604CB7">
        <w:rPr>
          <w:rFonts w:eastAsia="Times New Roman" w:cs="Calibri"/>
          <w:bCs/>
          <w:lang w:eastAsia="ar-SA"/>
        </w:rPr>
        <w:t xml:space="preserve">L’exposition présente des objets anciens </w:t>
      </w:r>
      <w:proofErr w:type="gramStart"/>
      <w:r w:rsidRPr="00604CB7">
        <w:rPr>
          <w:rFonts w:eastAsia="Times New Roman" w:cs="Calibri"/>
          <w:bCs/>
          <w:lang w:eastAsia="ar-SA"/>
        </w:rPr>
        <w:t>( deux</w:t>
      </w:r>
      <w:proofErr w:type="gramEnd"/>
      <w:r w:rsidRPr="00604CB7">
        <w:rPr>
          <w:rFonts w:eastAsia="Times New Roman" w:cs="Calibri"/>
          <w:bCs/>
          <w:lang w:eastAsia="ar-SA"/>
        </w:rPr>
        <w:t xml:space="preserve"> tiers de </w:t>
      </w:r>
      <w:proofErr w:type="spellStart"/>
      <w:r w:rsidRPr="00604CB7">
        <w:rPr>
          <w:rFonts w:eastAsia="Times New Roman" w:cs="Calibri"/>
          <w:bCs/>
          <w:i/>
          <w:lang w:eastAsia="ar-SA"/>
        </w:rPr>
        <w:t>taonga</w:t>
      </w:r>
      <w:proofErr w:type="spellEnd"/>
      <w:r w:rsidRPr="00604CB7">
        <w:rPr>
          <w:rFonts w:eastAsia="Times New Roman" w:cs="Calibri"/>
          <w:bCs/>
          <w:lang w:eastAsia="ar-SA"/>
        </w:rPr>
        <w:t xml:space="preserve">) et contemporains (TPT, Document concept). </w:t>
      </w:r>
    </w:p>
    <w:p w:rsidR="00604CB7" w:rsidRPr="00604CB7" w:rsidRDefault="00604CB7" w:rsidP="00604CB7">
      <w:pPr>
        <w:suppressAutoHyphens/>
        <w:spacing w:after="0" w:line="240" w:lineRule="auto"/>
        <w:rPr>
          <w:rFonts w:eastAsia="Times New Roman" w:cs="Calibri"/>
          <w:bCs/>
          <w:lang w:eastAsia="ar-SA"/>
        </w:rPr>
      </w:pPr>
    </w:p>
    <w:p w:rsidR="00604CB7" w:rsidRPr="00604CB7" w:rsidRDefault="00604CB7" w:rsidP="00604CB7">
      <w:pPr>
        <w:rPr>
          <w:lang w:eastAsia="ar-SA"/>
        </w:rPr>
      </w:pPr>
      <w:proofErr w:type="gramStart"/>
      <w:r w:rsidRPr="00604CB7">
        <w:rPr>
          <w:lang w:eastAsia="ar-SA"/>
        </w:rPr>
        <w:t>«[</w:t>
      </w:r>
      <w:proofErr w:type="gramEnd"/>
      <w:r w:rsidRPr="00604CB7">
        <w:rPr>
          <w:lang w:eastAsia="ar-SA"/>
        </w:rPr>
        <w:t xml:space="preserve">Elle] vise à faire la démonstration qu’il existe une relation vivante entre les </w:t>
      </w:r>
      <w:proofErr w:type="spellStart"/>
      <w:r w:rsidRPr="00604CB7">
        <w:rPr>
          <w:lang w:eastAsia="ar-SA"/>
        </w:rPr>
        <w:t>taonga</w:t>
      </w:r>
      <w:proofErr w:type="spellEnd"/>
      <w:r w:rsidRPr="00604CB7">
        <w:rPr>
          <w:lang w:eastAsia="ar-SA"/>
        </w:rPr>
        <w:t xml:space="preserve">, les </w:t>
      </w:r>
      <w:proofErr w:type="spellStart"/>
      <w:r w:rsidRPr="00604CB7">
        <w:rPr>
          <w:lang w:eastAsia="ar-SA"/>
        </w:rPr>
        <w:t>oeuvres</w:t>
      </w:r>
      <w:proofErr w:type="spellEnd"/>
      <w:r w:rsidRPr="00604CB7">
        <w:rPr>
          <w:lang w:eastAsia="ar-SA"/>
        </w:rPr>
        <w:t xml:space="preserve"> contemporaines et les gens qui y sont associés. Les visiteurs expérimentant la beauté et le pouvoir des œuvres </w:t>
      </w:r>
      <w:proofErr w:type="spellStart"/>
      <w:r w:rsidRPr="00604CB7">
        <w:rPr>
          <w:lang w:eastAsia="ar-SA"/>
        </w:rPr>
        <w:t>taonga</w:t>
      </w:r>
      <w:proofErr w:type="spellEnd"/>
      <w:r w:rsidRPr="00604CB7">
        <w:rPr>
          <w:lang w:eastAsia="ar-SA"/>
        </w:rPr>
        <w:t xml:space="preserve"> en passant devant une sélection d’œuvre contemporaines, avec les forces qui en émanent ; dans ce contexte les visiteurs acquerront une compréhension des concepts centraux, des problèmes et des débats pertinents pour les </w:t>
      </w:r>
      <w:proofErr w:type="spellStart"/>
      <w:r w:rsidRPr="00604CB7">
        <w:rPr>
          <w:lang w:eastAsia="ar-SA"/>
        </w:rPr>
        <w:t>Māori</w:t>
      </w:r>
      <w:proofErr w:type="spellEnd"/>
      <w:r w:rsidRPr="00604CB7">
        <w:rPr>
          <w:lang w:eastAsia="ar-SA"/>
        </w:rPr>
        <w:t xml:space="preserve"> aujourd'hui.(TPT, Document concept).</w:t>
      </w:r>
    </w:p>
    <w:p w:rsidR="00604CB7" w:rsidRPr="00604CB7" w:rsidRDefault="00604CB7" w:rsidP="00604CB7">
      <w:pPr>
        <w:suppressAutoHyphens/>
        <w:spacing w:after="0" w:line="240" w:lineRule="auto"/>
        <w:rPr>
          <w:rFonts w:eastAsia="Times New Roman" w:cs="Calibri"/>
          <w:bCs/>
          <w:lang w:eastAsia="ar-SA"/>
        </w:rPr>
      </w:pPr>
    </w:p>
    <w:p w:rsidR="00604CB7" w:rsidRPr="00604CB7" w:rsidRDefault="00604CB7" w:rsidP="00604CB7">
      <w:pPr>
        <w:rPr>
          <w:lang w:eastAsia="ar-SA"/>
        </w:rPr>
      </w:pPr>
      <w:r w:rsidRPr="00604CB7">
        <w:rPr>
          <w:lang w:eastAsia="ar-SA"/>
        </w:rPr>
        <w:t xml:space="preserve">Cette perspective correspond au positionnement muséal du TPT, dont l’exposition « E </w:t>
      </w:r>
      <w:proofErr w:type="spellStart"/>
      <w:r w:rsidRPr="00604CB7">
        <w:rPr>
          <w:lang w:eastAsia="ar-SA"/>
        </w:rPr>
        <w:t>tū</w:t>
      </w:r>
      <w:proofErr w:type="spellEnd"/>
      <w:r w:rsidRPr="00604CB7">
        <w:rPr>
          <w:lang w:eastAsia="ar-SA"/>
        </w:rPr>
        <w:t xml:space="preserve"> </w:t>
      </w:r>
      <w:proofErr w:type="spellStart"/>
      <w:r w:rsidRPr="00604CB7">
        <w:rPr>
          <w:lang w:eastAsia="ar-SA"/>
        </w:rPr>
        <w:t>ake</w:t>
      </w:r>
      <w:proofErr w:type="spellEnd"/>
      <w:r w:rsidRPr="00604CB7">
        <w:rPr>
          <w:lang w:eastAsia="ar-SA"/>
        </w:rPr>
        <w:t xml:space="preserve"> » constitue une réalisation à la fois typique et exemplaire. C’est une réalisation typique par cette activation, propre au </w:t>
      </w:r>
      <w:proofErr w:type="gramStart"/>
      <w:r w:rsidRPr="00604CB7">
        <w:rPr>
          <w:lang w:eastAsia="ar-SA"/>
        </w:rPr>
        <w:t>TPT ,</w:t>
      </w:r>
      <w:proofErr w:type="gramEnd"/>
      <w:r w:rsidRPr="00604CB7">
        <w:rPr>
          <w:lang w:eastAsia="ar-SA"/>
        </w:rPr>
        <w:t xml:space="preserve"> de l’opérativité des œuvres. A travers l’expérience esthétique d’œuvres puissantes, le visiteur expérimente les visions du monde et les principes régissant la culture des </w:t>
      </w:r>
      <w:proofErr w:type="spellStart"/>
      <w:r w:rsidRPr="00604CB7">
        <w:rPr>
          <w:lang w:eastAsia="ar-SA"/>
        </w:rPr>
        <w:t>Māori</w:t>
      </w:r>
      <w:proofErr w:type="spellEnd"/>
      <w:r w:rsidRPr="00604CB7">
        <w:rPr>
          <w:lang w:eastAsia="ar-SA"/>
        </w:rPr>
        <w:t xml:space="preserve">, lui faisant ainsi accéder à une compréhension de leurs aspirations collectives aujourd’hui. </w:t>
      </w:r>
      <w:r w:rsidRPr="00604CB7">
        <w:rPr>
          <w:lang w:eastAsia="ar-SA"/>
        </w:rPr>
        <w:lastRenderedPageBreak/>
        <w:t xml:space="preserve">C’est une réalisation exemplaire en tant qu’elle est conçue pour des audiences internationales </w:t>
      </w:r>
      <w:r w:rsidRPr="00604CB7">
        <w:rPr>
          <w:vertAlign w:val="superscript"/>
          <w:lang w:eastAsia="ar-SA"/>
        </w:rPr>
        <w:footnoteReference w:id="3"/>
      </w:r>
      <w:r w:rsidRPr="00604CB7">
        <w:rPr>
          <w:lang w:eastAsia="ar-SA"/>
        </w:rPr>
        <w:t xml:space="preserve"> comme une vitrine de la culture </w:t>
      </w:r>
      <w:proofErr w:type="spellStart"/>
      <w:r w:rsidRPr="00604CB7">
        <w:rPr>
          <w:lang w:eastAsia="ar-SA"/>
        </w:rPr>
        <w:t>māori</w:t>
      </w:r>
      <w:proofErr w:type="spellEnd"/>
      <w:r w:rsidRPr="00604CB7">
        <w:rPr>
          <w:lang w:eastAsia="ar-SA"/>
        </w:rPr>
        <w:t xml:space="preserve">. Exemplaire enfin au sens où, si l’exposition ambitionne de montrer au monde la culture </w:t>
      </w:r>
      <w:proofErr w:type="spellStart"/>
      <w:r w:rsidRPr="00604CB7">
        <w:rPr>
          <w:lang w:eastAsia="ar-SA"/>
        </w:rPr>
        <w:t>māori</w:t>
      </w:r>
      <w:proofErr w:type="spellEnd"/>
      <w:r w:rsidRPr="00604CB7">
        <w:rPr>
          <w:lang w:eastAsia="ar-SA"/>
        </w:rPr>
        <w:t xml:space="preserve"> comme composante essentielle de la nation néo-zélandaise, c’est en tant que peuple autochtone que les </w:t>
      </w:r>
      <w:proofErr w:type="spellStart"/>
      <w:r w:rsidRPr="00604CB7">
        <w:rPr>
          <w:lang w:eastAsia="ar-SA"/>
        </w:rPr>
        <w:t>Māori</w:t>
      </w:r>
      <w:proofErr w:type="spellEnd"/>
      <w:r w:rsidRPr="00604CB7">
        <w:rPr>
          <w:lang w:eastAsia="ar-SA"/>
        </w:rPr>
        <w:t xml:space="preserve"> sont avant tout présentés. Les </w:t>
      </w:r>
      <w:proofErr w:type="spellStart"/>
      <w:r w:rsidRPr="00604CB7">
        <w:rPr>
          <w:lang w:eastAsia="ar-SA"/>
        </w:rPr>
        <w:t>Māori</w:t>
      </w:r>
      <w:proofErr w:type="spellEnd"/>
      <w:r w:rsidRPr="00604CB7">
        <w:rPr>
          <w:lang w:eastAsia="ar-SA"/>
        </w:rPr>
        <w:t xml:space="preserve"> font figure d’exemple de peuple parvenant à lutter pour régénérer, revivifier une culture pourtant parfois très menacée «  passant du statut d’être au bord de l’extinction au statut d’être couramment utilisée » (Catalogue, Intro), et de modèle, apportant des solutions possibles aux autres peuples autochtones rencontrant des problèmes similaires.</w:t>
      </w:r>
      <w:bookmarkStart w:id="22" w:name="_Toc368490590"/>
      <w:bookmarkStart w:id="23" w:name="_Toc368490800"/>
      <w:r w:rsidRPr="00604CB7">
        <w:rPr>
          <w:lang w:eastAsia="ar-SA"/>
        </w:rPr>
        <w:t xml:space="preserve"> </w:t>
      </w:r>
    </w:p>
    <w:p w:rsidR="00604CB7" w:rsidRPr="00604CB7" w:rsidRDefault="00604CB7" w:rsidP="00604CB7">
      <w:pPr>
        <w:rPr>
          <w:lang w:eastAsia="ar-SA"/>
        </w:rPr>
      </w:pPr>
      <w:r w:rsidRPr="00604CB7">
        <w:rPr>
          <w:lang w:eastAsia="ar-SA"/>
        </w:rPr>
        <w:t>Le parcours conceptuel</w:t>
      </w:r>
      <w:bookmarkEnd w:id="22"/>
      <w:bookmarkEnd w:id="23"/>
      <w:r w:rsidRPr="00604CB7">
        <w:rPr>
          <w:lang w:eastAsia="ar-SA"/>
        </w:rPr>
        <w:t xml:space="preserve"> est fondé sur le concept central de </w:t>
      </w:r>
      <w:proofErr w:type="spellStart"/>
      <w:r w:rsidRPr="00604CB7">
        <w:rPr>
          <w:i/>
          <w:lang w:eastAsia="ar-SA"/>
        </w:rPr>
        <w:t>tino</w:t>
      </w:r>
      <w:proofErr w:type="spellEnd"/>
      <w:r w:rsidRPr="00604CB7">
        <w:rPr>
          <w:i/>
          <w:lang w:eastAsia="ar-SA"/>
        </w:rPr>
        <w:t xml:space="preserve"> </w:t>
      </w:r>
      <w:proofErr w:type="spellStart"/>
      <w:proofErr w:type="gramStart"/>
      <w:r w:rsidRPr="00604CB7">
        <w:rPr>
          <w:i/>
          <w:lang w:eastAsia="ar-SA"/>
        </w:rPr>
        <w:t>rangatiratanga</w:t>
      </w:r>
      <w:proofErr w:type="spellEnd"/>
      <w:r w:rsidRPr="00604CB7">
        <w:rPr>
          <w:lang w:eastAsia="ar-SA"/>
        </w:rPr>
        <w:t xml:space="preserve">  :</w:t>
      </w:r>
      <w:proofErr w:type="gramEnd"/>
      <w:r w:rsidRPr="00604CB7">
        <w:rPr>
          <w:lang w:eastAsia="ar-SA"/>
        </w:rPr>
        <w:t xml:space="preserve"> « contrôle de toutes choses </w:t>
      </w:r>
      <w:proofErr w:type="spellStart"/>
      <w:r w:rsidRPr="00604CB7">
        <w:rPr>
          <w:lang w:eastAsia="ar-SA"/>
        </w:rPr>
        <w:t>māori</w:t>
      </w:r>
      <w:proofErr w:type="spellEnd"/>
      <w:r w:rsidRPr="00604CB7">
        <w:rPr>
          <w:lang w:eastAsia="ar-SA"/>
        </w:rPr>
        <w:t xml:space="preserve"> par les </w:t>
      </w:r>
      <w:proofErr w:type="spellStart"/>
      <w:r w:rsidRPr="00604CB7">
        <w:rPr>
          <w:lang w:eastAsia="ar-SA"/>
        </w:rPr>
        <w:t>Māori</w:t>
      </w:r>
      <w:proofErr w:type="spellEnd"/>
      <w:r w:rsidRPr="00604CB7">
        <w:rPr>
          <w:lang w:eastAsia="ar-SA"/>
        </w:rPr>
        <w:t xml:space="preserve"> eux-mêmes ». « Des expressions variées de </w:t>
      </w:r>
      <w:proofErr w:type="spellStart"/>
      <w:r w:rsidRPr="00604CB7">
        <w:rPr>
          <w:i/>
          <w:lang w:eastAsia="ar-SA"/>
        </w:rPr>
        <w:t>tino</w:t>
      </w:r>
      <w:proofErr w:type="spellEnd"/>
      <w:r w:rsidRPr="00604CB7">
        <w:rPr>
          <w:i/>
          <w:lang w:eastAsia="ar-SA"/>
        </w:rPr>
        <w:t xml:space="preserve"> </w:t>
      </w:r>
      <w:proofErr w:type="spellStart"/>
      <w:r w:rsidRPr="00604CB7">
        <w:rPr>
          <w:i/>
          <w:lang w:eastAsia="ar-SA"/>
        </w:rPr>
        <w:t>rangatiratanga</w:t>
      </w:r>
      <w:proofErr w:type="spellEnd"/>
      <w:r w:rsidRPr="00604CB7">
        <w:rPr>
          <w:lang w:eastAsia="ar-SA"/>
        </w:rPr>
        <w:t xml:space="preserve"> sont illustrées pour éclairer les aspirations des </w:t>
      </w:r>
      <w:proofErr w:type="spellStart"/>
      <w:r w:rsidRPr="00604CB7">
        <w:rPr>
          <w:lang w:eastAsia="ar-SA"/>
        </w:rPr>
        <w:t>Māori</w:t>
      </w:r>
      <w:proofErr w:type="spellEnd"/>
      <w:r w:rsidRPr="00604CB7">
        <w:rPr>
          <w:lang w:eastAsia="ar-SA"/>
        </w:rPr>
        <w:t> » (TPT, Document concept) : Trois aspects sont principalement déclinés, articula</w:t>
      </w:r>
      <w:bookmarkStart w:id="24" w:name="_Toc368490591"/>
      <w:bookmarkStart w:id="25" w:name="_Toc368490801"/>
      <w:r w:rsidRPr="00604CB7">
        <w:rPr>
          <w:lang w:eastAsia="ar-SA"/>
        </w:rPr>
        <w:t>nt le parcours de l’exposition</w:t>
      </w:r>
      <w:bookmarkEnd w:id="24"/>
      <w:bookmarkEnd w:id="25"/>
      <w:r w:rsidRPr="00604CB7">
        <w:rPr>
          <w:lang w:eastAsia="ar-SA"/>
        </w:rPr>
        <w:t xml:space="preserve"> sur les concepts </w:t>
      </w:r>
      <w:proofErr w:type="spellStart"/>
      <w:r w:rsidRPr="00604CB7">
        <w:rPr>
          <w:lang w:eastAsia="ar-SA"/>
        </w:rPr>
        <w:t>māori</w:t>
      </w:r>
      <w:proofErr w:type="spellEnd"/>
      <w:r w:rsidRPr="00604CB7">
        <w:rPr>
          <w:lang w:eastAsia="ar-SA"/>
        </w:rPr>
        <w:t xml:space="preserve"> suivants :</w:t>
      </w:r>
    </w:p>
    <w:p w:rsidR="00604CB7" w:rsidRPr="00604CB7" w:rsidRDefault="00604CB7" w:rsidP="00604CB7">
      <w:pPr>
        <w:suppressAutoHyphens/>
        <w:spacing w:after="0" w:line="240" w:lineRule="auto"/>
        <w:rPr>
          <w:rFonts w:eastAsia="Times New Roman" w:cs="Calibri"/>
          <w:bCs/>
          <w:lang w:eastAsia="ar-SA"/>
        </w:rPr>
      </w:pPr>
    </w:p>
    <w:p w:rsidR="00604CB7" w:rsidRPr="00604CB7" w:rsidRDefault="00604CB7" w:rsidP="00604CB7">
      <w:pPr>
        <w:rPr>
          <w:lang w:eastAsia="ar-SA"/>
        </w:rPr>
      </w:pPr>
      <w:r w:rsidRPr="00604CB7">
        <w:rPr>
          <w:lang w:eastAsia="ar-SA"/>
        </w:rPr>
        <w:t xml:space="preserve">1. </w:t>
      </w:r>
      <w:proofErr w:type="spellStart"/>
      <w:r w:rsidRPr="00604CB7">
        <w:rPr>
          <w:i/>
          <w:lang w:eastAsia="ar-SA"/>
        </w:rPr>
        <w:t>Whakapapa</w:t>
      </w:r>
      <w:proofErr w:type="spellEnd"/>
      <w:r w:rsidRPr="00604CB7">
        <w:rPr>
          <w:i/>
          <w:lang w:eastAsia="ar-SA"/>
        </w:rPr>
        <w:t> </w:t>
      </w:r>
      <w:r w:rsidRPr="00604CB7">
        <w:rPr>
          <w:lang w:eastAsia="ar-SA"/>
        </w:rPr>
        <w:t>: Système de référence généalogique, identité culturelle</w:t>
      </w:r>
      <w:r w:rsidRPr="00604CB7">
        <w:rPr>
          <w:vertAlign w:val="superscript"/>
          <w:lang w:eastAsia="ar-SA"/>
        </w:rPr>
        <w:footnoteReference w:id="4"/>
      </w:r>
      <w:r w:rsidRPr="00604CB7">
        <w:rPr>
          <w:lang w:eastAsia="ar-SA"/>
        </w:rPr>
        <w:t xml:space="preserve"> </w:t>
      </w:r>
    </w:p>
    <w:p w:rsidR="00604CB7" w:rsidRPr="00604CB7" w:rsidRDefault="00604CB7" w:rsidP="00604CB7">
      <w:pPr>
        <w:rPr>
          <w:lang w:eastAsia="ar-SA"/>
        </w:rPr>
      </w:pPr>
      <w:r w:rsidRPr="00604CB7">
        <w:rPr>
          <w:lang w:eastAsia="ar-SA"/>
        </w:rPr>
        <w:t xml:space="preserve">2. </w:t>
      </w:r>
      <w:r w:rsidRPr="00604CB7">
        <w:rPr>
          <w:i/>
          <w:lang w:eastAsia="ar-SA"/>
        </w:rPr>
        <w:t>Mana</w:t>
      </w:r>
      <w:r w:rsidRPr="00604CB7">
        <w:rPr>
          <w:lang w:eastAsia="ar-SA"/>
        </w:rPr>
        <w:t> : Intégrité, charisme – qualités souvent associées au leadership</w:t>
      </w:r>
      <w:r w:rsidRPr="00604CB7">
        <w:rPr>
          <w:vertAlign w:val="superscript"/>
          <w:lang w:eastAsia="ar-SA"/>
        </w:rPr>
        <w:footnoteReference w:id="5"/>
      </w:r>
    </w:p>
    <w:p w:rsidR="00604CB7" w:rsidRPr="00604CB7" w:rsidRDefault="00604CB7" w:rsidP="00604CB7">
      <w:pPr>
        <w:rPr>
          <w:lang w:eastAsia="ar-SA"/>
        </w:rPr>
      </w:pPr>
      <w:proofErr w:type="gramStart"/>
      <w:r w:rsidRPr="00604CB7">
        <w:rPr>
          <w:lang w:eastAsia="ar-SA"/>
        </w:rPr>
        <w:t>3.</w:t>
      </w:r>
      <w:r w:rsidRPr="00604CB7">
        <w:rPr>
          <w:i/>
          <w:lang w:eastAsia="ar-SA"/>
        </w:rPr>
        <w:t>Kaitiakitanga</w:t>
      </w:r>
      <w:proofErr w:type="gramEnd"/>
      <w:r w:rsidRPr="00604CB7">
        <w:rPr>
          <w:lang w:eastAsia="ar-SA"/>
        </w:rPr>
        <w:t> : responsabilité de garde, de protection, de bonne gestion de l’environnement naturel</w:t>
      </w:r>
      <w:r w:rsidRPr="00604CB7">
        <w:rPr>
          <w:vertAlign w:val="superscript"/>
          <w:lang w:eastAsia="ar-SA"/>
        </w:rPr>
        <w:footnoteReference w:id="6"/>
      </w:r>
      <w:r w:rsidRPr="00604CB7">
        <w:rPr>
          <w:lang w:eastAsia="ar-SA"/>
        </w:rPr>
        <w:t>.</w:t>
      </w:r>
    </w:p>
    <w:p w:rsidR="00604CB7" w:rsidRPr="00604CB7" w:rsidRDefault="00604CB7" w:rsidP="00604CB7">
      <w:pPr>
        <w:rPr>
          <w:vertAlign w:val="superscript"/>
          <w:lang w:eastAsia="ar-SA"/>
        </w:rPr>
      </w:pPr>
      <w:r w:rsidRPr="00604CB7">
        <w:rPr>
          <w:lang w:eastAsia="ar-SA"/>
        </w:rPr>
        <w:t xml:space="preserve">Dans chaque section, les stations explorent des dimensions passées et actuelles des thèmes, en faisant référence à des controverses et des débats. Une partie introductive associe des panneaux explicatifs, apportant des repères historiques, sociaux et politiques, et vitrines présentant des objets emblématiques, un </w:t>
      </w:r>
      <w:proofErr w:type="spellStart"/>
      <w:r w:rsidRPr="00604CB7">
        <w:rPr>
          <w:i/>
          <w:lang w:eastAsia="ar-SA"/>
        </w:rPr>
        <w:t>taonga</w:t>
      </w:r>
      <w:proofErr w:type="spellEnd"/>
      <w:r w:rsidRPr="00604CB7">
        <w:rPr>
          <w:lang w:eastAsia="ar-SA"/>
        </w:rPr>
        <w:t xml:space="preserve"> introduisant chacun des trois concepts structurant le parcours</w:t>
      </w:r>
      <w:r w:rsidRPr="00604CB7">
        <w:rPr>
          <w:vertAlign w:val="superscript"/>
          <w:lang w:eastAsia="ar-SA"/>
        </w:rPr>
        <w:t>.</w:t>
      </w:r>
    </w:p>
    <w:p w:rsidR="00604CB7" w:rsidRPr="00604CB7" w:rsidRDefault="00604CB7" w:rsidP="00604CB7">
      <w:pPr>
        <w:rPr>
          <w:lang w:eastAsia="fr-FR"/>
        </w:rPr>
      </w:pPr>
      <w:r w:rsidRPr="00604CB7">
        <w:t xml:space="preserve">L’exposition est présentée dans la galerie </w:t>
      </w:r>
      <w:r w:rsidRPr="00604CB7">
        <w:rPr>
          <w:rFonts w:cs="Calibri"/>
          <w:bCs/>
        </w:rPr>
        <w:t xml:space="preserve">Visa </w:t>
      </w:r>
      <w:proofErr w:type="spellStart"/>
      <w:r w:rsidRPr="00604CB7">
        <w:rPr>
          <w:rFonts w:cs="Calibri"/>
          <w:bCs/>
        </w:rPr>
        <w:t>Platinum</w:t>
      </w:r>
      <w:proofErr w:type="spellEnd"/>
      <w:r w:rsidRPr="00604CB7">
        <w:rPr>
          <w:rFonts w:cs="Calibri"/>
          <w:bCs/>
        </w:rPr>
        <w:t xml:space="preserve">, galerie d’exposition temporaire située  au cœur du musée, en entrée libre. </w:t>
      </w:r>
      <w:r w:rsidRPr="00604CB7">
        <w:rPr>
          <w:lang w:eastAsia="fr-FR"/>
        </w:rPr>
        <w:t xml:space="preserve">Donnée à voir  dans une galerie de prestige au cœur du musée qui exprime l’identité binationale de la NZ, l’exposition est présentée au public néo-zélandais comme le médium d’une reconnaissance de l’intégration des </w:t>
      </w:r>
      <w:proofErr w:type="spellStart"/>
      <w:r w:rsidRPr="00604CB7">
        <w:rPr>
          <w:lang w:eastAsia="fr-FR"/>
        </w:rPr>
        <w:t>Māori</w:t>
      </w:r>
      <w:proofErr w:type="spellEnd"/>
      <w:r w:rsidRPr="00604CB7">
        <w:rPr>
          <w:lang w:eastAsia="fr-FR"/>
        </w:rPr>
        <w:t xml:space="preserve"> </w:t>
      </w:r>
      <w:proofErr w:type="spellStart"/>
      <w:r w:rsidRPr="00604CB7">
        <w:rPr>
          <w:lang w:eastAsia="fr-FR"/>
        </w:rPr>
        <w:t>dansla</w:t>
      </w:r>
      <w:proofErr w:type="spellEnd"/>
      <w:r w:rsidRPr="00604CB7">
        <w:rPr>
          <w:lang w:eastAsia="fr-FR"/>
        </w:rPr>
        <w:t xml:space="preserve"> nation, et de la légitimité de leur affirmation culturelle et politique. </w:t>
      </w:r>
      <w:r w:rsidRPr="00604CB7">
        <w:rPr>
          <w:rFonts w:cs="Calibri"/>
          <w:bCs/>
        </w:rPr>
        <w:t xml:space="preserve">En termes de fréquentation, un public </w:t>
      </w:r>
      <w:proofErr w:type="spellStart"/>
      <w:r w:rsidRPr="00604CB7">
        <w:rPr>
          <w:rFonts w:cs="Calibri"/>
          <w:bCs/>
        </w:rPr>
        <w:t>māori</w:t>
      </w:r>
      <w:proofErr w:type="spellEnd"/>
      <w:r w:rsidRPr="00604CB7">
        <w:rPr>
          <w:rFonts w:cs="Calibri"/>
          <w:bCs/>
        </w:rPr>
        <w:t xml:space="preserve"> plus important est attendu pour cette exposition présentée au TPT dans la période creuse automnale (avril-juin), pour une durée de 79 jours, dans une galerie où la </w:t>
      </w:r>
      <w:proofErr w:type="spellStart"/>
      <w:r w:rsidRPr="00604CB7">
        <w:rPr>
          <w:rFonts w:cs="Calibri"/>
          <w:bCs/>
        </w:rPr>
        <w:t>sur-représentation</w:t>
      </w:r>
      <w:proofErr w:type="spellEnd"/>
      <w:r w:rsidRPr="00604CB7">
        <w:rPr>
          <w:rFonts w:cs="Calibri"/>
          <w:bCs/>
        </w:rPr>
        <w:t xml:space="preserve"> des publics européens est habituellement marquée (TPT : Document </w:t>
      </w:r>
      <w:r w:rsidRPr="00604CB7">
        <w:rPr>
          <w:rFonts w:cs="Calibri"/>
          <w:bCs/>
          <w:i/>
        </w:rPr>
        <w:t xml:space="preserve">Audience </w:t>
      </w:r>
      <w:proofErr w:type="spellStart"/>
      <w:proofErr w:type="gramStart"/>
      <w:r w:rsidRPr="00604CB7">
        <w:rPr>
          <w:rFonts w:cs="Calibri"/>
          <w:bCs/>
          <w:i/>
        </w:rPr>
        <w:t>Statement</w:t>
      </w:r>
      <w:proofErr w:type="spellEnd"/>
      <w:r w:rsidRPr="00604CB7">
        <w:rPr>
          <w:rFonts w:cs="Calibri"/>
          <w:bCs/>
        </w:rPr>
        <w:t> )</w:t>
      </w:r>
      <w:proofErr w:type="gramEnd"/>
      <w:r w:rsidRPr="00604CB7">
        <w:rPr>
          <w:rFonts w:cs="Calibri"/>
          <w:bCs/>
        </w:rPr>
        <w:t>..</w:t>
      </w:r>
    </w:p>
    <w:p w:rsidR="00604CB7" w:rsidRPr="00604CB7" w:rsidRDefault="00604CB7" w:rsidP="00604CB7">
      <w:pPr>
        <w:keepNext/>
        <w:keepLines/>
        <w:spacing w:before="200" w:after="0"/>
        <w:outlineLvl w:val="2"/>
        <w:rPr>
          <w:rFonts w:eastAsia="Times New Roman" w:cstheme="majorBidi"/>
          <w:b/>
          <w:bCs/>
          <w:color w:val="4F81BD" w:themeColor="accent1"/>
          <w:lang w:eastAsia="ar-SA"/>
        </w:rPr>
      </w:pPr>
      <w:bookmarkStart w:id="26" w:name="_Toc385923155"/>
      <w:bookmarkStart w:id="27" w:name="_Toc385923199"/>
      <w:r w:rsidRPr="00604CB7">
        <w:rPr>
          <w:rFonts w:asciiTheme="majorHAnsi" w:eastAsia="Times New Roman" w:hAnsiTheme="majorHAnsi" w:cstheme="majorBidi"/>
          <w:b/>
          <w:bCs/>
          <w:color w:val="4F81BD" w:themeColor="accent1"/>
          <w:lang w:eastAsia="ar-SA"/>
        </w:rPr>
        <w:t>Entre vision indigène et internationale : des objets inscrits dans un double paradigme patrimonial</w:t>
      </w:r>
      <w:bookmarkEnd w:id="26"/>
      <w:bookmarkEnd w:id="27"/>
    </w:p>
    <w:p w:rsidR="00604CB7" w:rsidRPr="00604CB7" w:rsidRDefault="00604CB7" w:rsidP="00604CB7">
      <w:pPr>
        <w:tabs>
          <w:tab w:val="left" w:pos="5245"/>
        </w:tabs>
        <w:suppressAutoHyphens/>
        <w:spacing w:after="0" w:line="240" w:lineRule="auto"/>
        <w:rPr>
          <w:rFonts w:eastAsia="Times New Roman" w:cs="Times New Roman"/>
          <w:lang w:eastAsia="ar-SA"/>
        </w:rPr>
      </w:pPr>
      <w:bookmarkStart w:id="28" w:name="_Toc379973343"/>
      <w:bookmarkStart w:id="29" w:name="_Toc379973707"/>
      <w:bookmarkStart w:id="30" w:name="_Toc381098635"/>
    </w:p>
    <w:p w:rsidR="00604CB7" w:rsidRPr="00604CB7" w:rsidRDefault="00604CB7" w:rsidP="00604CB7">
      <w:pPr>
        <w:rPr>
          <w:rFonts w:cs="Calibri"/>
          <w:bCs/>
          <w:lang w:eastAsia="ar-SA"/>
        </w:rPr>
      </w:pPr>
      <w:r w:rsidRPr="00604CB7">
        <w:rPr>
          <w:rFonts w:cs="Calibri"/>
          <w:bCs/>
          <w:lang w:eastAsia="ar-SA"/>
        </w:rPr>
        <w:lastRenderedPageBreak/>
        <w:t xml:space="preserve">Quels objets ont été choisis pour représenter la culture </w:t>
      </w:r>
      <w:proofErr w:type="gramStart"/>
      <w:r w:rsidRPr="00604CB7">
        <w:rPr>
          <w:rFonts w:cs="Calibri"/>
          <w:bCs/>
          <w:lang w:eastAsia="ar-SA"/>
        </w:rPr>
        <w:t>maori</w:t>
      </w:r>
      <w:proofErr w:type="gramEnd"/>
      <w:r w:rsidRPr="00604CB7">
        <w:rPr>
          <w:rFonts w:cs="Calibri"/>
          <w:bCs/>
          <w:lang w:eastAsia="ar-SA"/>
        </w:rPr>
        <w:t xml:space="preserve"> ? Lesquels sont identifiés comme «objets d’art » ? Et par qui ? </w:t>
      </w:r>
      <w:r w:rsidRPr="00604CB7">
        <w:rPr>
          <w:lang w:eastAsia="ar-SA"/>
        </w:rPr>
        <w:t>Le simple choix des pièces exposées, la sélection des objets, disent beaucoup du propos de l’exposition. Ils dégagent un discours implicite quant aux présupposés liés au « genre » de l’exposition, à la catégorie au sein de laquelle elle s’attache à exister. Ils disent aussi et surtout ce que l’exposition n’est pas.</w:t>
      </w:r>
      <w:r w:rsidRPr="00604CB7">
        <w:rPr>
          <w:rFonts w:cs="Calibri"/>
          <w:bCs/>
          <w:lang w:eastAsia="ar-SA"/>
        </w:rPr>
        <w:t xml:space="preserve"> </w:t>
      </w:r>
      <w:r w:rsidRPr="00604CB7">
        <w:rPr>
          <w:lang w:eastAsia="ar-SA"/>
        </w:rPr>
        <w:t>Parmi les objets choisis pour être montrés, se trouvent des objets anciens, datant de plusieurs siècles, et des objets contemporains. Par exemple, une pirogue (</w:t>
      </w:r>
      <w:proofErr w:type="spellStart"/>
      <w:r w:rsidRPr="00604CB7">
        <w:rPr>
          <w:i/>
          <w:lang w:eastAsia="ar-SA"/>
        </w:rPr>
        <w:t>waka</w:t>
      </w:r>
      <w:proofErr w:type="spellEnd"/>
      <w:r w:rsidRPr="00604CB7">
        <w:rPr>
          <w:lang w:eastAsia="ar-SA"/>
        </w:rPr>
        <w:t xml:space="preserve">) contemporaine high </w:t>
      </w:r>
      <w:proofErr w:type="spellStart"/>
      <w:r w:rsidRPr="00604CB7">
        <w:rPr>
          <w:lang w:eastAsia="ar-SA"/>
        </w:rPr>
        <w:t>tech</w:t>
      </w:r>
      <w:proofErr w:type="spellEnd"/>
      <w:r w:rsidRPr="00604CB7">
        <w:rPr>
          <w:lang w:eastAsia="ar-SA"/>
        </w:rPr>
        <w:t>, ainsi qu’une vidéo d’une course sportive récente la mettant en scène, côtoient la poupe (</w:t>
      </w:r>
      <w:proofErr w:type="spellStart"/>
      <w:r w:rsidRPr="00604CB7">
        <w:rPr>
          <w:i/>
          <w:lang w:eastAsia="ar-SA"/>
        </w:rPr>
        <w:t>taurapa</w:t>
      </w:r>
      <w:proofErr w:type="spellEnd"/>
      <w:r w:rsidRPr="00604CB7">
        <w:rPr>
          <w:lang w:eastAsia="ar-SA"/>
        </w:rPr>
        <w:t xml:space="preserve">) d’un célèbre </w:t>
      </w:r>
      <w:proofErr w:type="spellStart"/>
      <w:r w:rsidRPr="00604CB7">
        <w:rPr>
          <w:i/>
          <w:lang w:eastAsia="ar-SA"/>
        </w:rPr>
        <w:t>waka</w:t>
      </w:r>
      <w:proofErr w:type="spellEnd"/>
      <w:r w:rsidRPr="00604CB7">
        <w:rPr>
          <w:lang w:eastAsia="ar-SA"/>
        </w:rPr>
        <w:t xml:space="preserve"> du nom de </w:t>
      </w:r>
      <w:proofErr w:type="spellStart"/>
      <w:r w:rsidRPr="00604CB7">
        <w:rPr>
          <w:i/>
          <w:iCs/>
          <w:lang w:eastAsia="ar-SA"/>
        </w:rPr>
        <w:t>Kahutiaterangi</w:t>
      </w:r>
      <w:proofErr w:type="spellEnd"/>
      <w:r w:rsidRPr="00604CB7">
        <w:rPr>
          <w:lang w:eastAsia="ar-SA"/>
        </w:rPr>
        <w:t>, encore en usage en 1830. La juxtaposition suggère l’idée de continuité culturelle, d’absence de rupture dans les techniques et les styles (la similarité des ornementations est soulignée) – alors même qu’il existe des creux dans la transmission de la tradition et des redécouvertes, des renouveaux. La coprésence d’objets de différentes époques implique également l’idée de vitalité culturelle, d’une culture vivante, ancrée dans le temps long mais capable d’un maintien et d’un renouvellement des pratiques techniques et « artistiques ».</w:t>
      </w:r>
      <w:r w:rsidRPr="00604CB7">
        <w:rPr>
          <w:rFonts w:cs="Calibri"/>
          <w:bCs/>
          <w:lang w:eastAsia="ar-SA"/>
        </w:rPr>
        <w:t xml:space="preserve"> </w:t>
      </w:r>
      <w:r w:rsidRPr="00604CB7">
        <w:rPr>
          <w:rFonts w:eastAsia="Times New Roman" w:cs="Times New Roman"/>
          <w:lang w:eastAsia="ar-SA"/>
        </w:rPr>
        <w:t>Mais cet assemblage de l’ancien et du contemporain indique surtout ce que l’exposition n’est pas :</w:t>
      </w:r>
    </w:p>
    <w:p w:rsidR="00604CB7" w:rsidRPr="00604CB7" w:rsidRDefault="00604CB7" w:rsidP="00604CB7">
      <w:pPr>
        <w:rPr>
          <w:lang w:eastAsia="ar-SA"/>
        </w:rPr>
      </w:pPr>
      <w:r w:rsidRPr="00604CB7">
        <w:rPr>
          <w:lang w:eastAsia="ar-SA"/>
        </w:rPr>
        <w:t>- elle ne propose pas une vision passéiste, évolutionniste ou primitiviste, qui présenterait les « traces » d’un peuple, d’une culture ou d’un art disparu ou en voie de disparition ;</w:t>
      </w:r>
    </w:p>
    <w:p w:rsidR="00604CB7" w:rsidRPr="00604CB7" w:rsidRDefault="00604CB7" w:rsidP="00604CB7">
      <w:pPr>
        <w:rPr>
          <w:lang w:eastAsia="ar-SA"/>
        </w:rPr>
      </w:pPr>
      <w:r w:rsidRPr="00604CB7">
        <w:rPr>
          <w:lang w:eastAsia="ar-SA"/>
        </w:rPr>
        <w:t>- elle ne présente pas une vision ethnographique ou sociologique, sur les modes de vie traditionnels et/ou contemporains, avec des informations objectives ou objectivées par la science, comme les lieux de résidence, taux de chômage, niveaux de vie… mais aussi la place relative des Maori dans la société néo-zélandaise ou la question de leur définition politique (qui dit qui est Maori ? statut ?) ou même du métissage ;</w:t>
      </w:r>
    </w:p>
    <w:p w:rsidR="00604CB7" w:rsidRPr="00604CB7" w:rsidRDefault="00604CB7" w:rsidP="00604CB7">
      <w:pPr>
        <w:rPr>
          <w:lang w:eastAsia="ar-SA"/>
        </w:rPr>
      </w:pPr>
      <w:r w:rsidRPr="00604CB7">
        <w:rPr>
          <w:lang w:eastAsia="ar-SA"/>
        </w:rPr>
        <w:t>- elle ne propose pas de mise à distance de la culture ou du propos Maori, elle ne propose pas un regard extérieur, un regard posé sur… mais une vision « de l’intérieur », qui oblige et permet, par exemple, de penser et d’éprouver la temporalité Maori, avec un ancrage du présent dans le passé – c’est même un propos fort de l’exposition.</w:t>
      </w:r>
    </w:p>
    <w:p w:rsidR="00604CB7" w:rsidRPr="00604CB7" w:rsidRDefault="00604CB7" w:rsidP="00604CB7">
      <w:pPr>
        <w:rPr>
          <w:lang w:eastAsia="ar-SA"/>
        </w:rPr>
      </w:pPr>
      <w:r w:rsidRPr="00604CB7">
        <w:rPr>
          <w:lang w:eastAsia="ar-SA"/>
        </w:rPr>
        <w:t>Première catégorie d’objets identifiables au sein de l’exposition, les œuvres d’art contemporain – ou « œuvres d’art contemporaines » comme indiqué dans le catalogue d’exposition. Il semble qu’un consensus existe autour d’une série d’objets, pour les considérer comme des œuvres d’art contemporains : elles sont identifiées comme telles par leurs producteurs (des artistes individuels qui se considèrent comme tels), leurs intermédiaires (par exemple des galeristes), leurs « metteurs en scène » au sein de l’exposition (les cartels sont sur le modèle de l’art contemporain) ainsi que leurs récepteurs (les objets laissent peu de doutes aux publics quant à leur identité). On pourrait presque dire que c’est une catégorie non problématique, qui intègre celle, plus large, de l’art. Il y a d’abord, là aussi, l’idée d’une vitalité culturelle. La présence de la culture Maori sur une scène internationale aussi légitime que celle de l’art contemporain constitue une « preuve » de vitalité culturelle, mais aussi d’appropriation de la notion d’art dans son acception occidentale, et d’utilisation de la force de cette notion comme levier vers une légitimation culturelle fondée sur des critères de créativité mais aussi de réflexivité et d’universalité.</w:t>
      </w:r>
    </w:p>
    <w:p w:rsidR="00604CB7" w:rsidRPr="00604CB7" w:rsidRDefault="00604CB7" w:rsidP="00604CB7">
      <w:pPr>
        <w:tabs>
          <w:tab w:val="left" w:pos="5245"/>
        </w:tabs>
        <w:suppressAutoHyphens/>
        <w:spacing w:after="0" w:line="240" w:lineRule="auto"/>
        <w:rPr>
          <w:rFonts w:eastAsia="Times New Roman" w:cs="Times New Roman"/>
          <w:lang w:eastAsia="ar-SA"/>
        </w:rPr>
      </w:pPr>
    </w:p>
    <w:p w:rsidR="00604CB7" w:rsidRPr="00604CB7" w:rsidRDefault="00604CB7" w:rsidP="00604CB7">
      <w:pPr>
        <w:rPr>
          <w:lang w:eastAsia="ar-SA"/>
        </w:rPr>
      </w:pPr>
      <w:r w:rsidRPr="00604CB7">
        <w:rPr>
          <w:lang w:eastAsia="ar-SA"/>
        </w:rPr>
        <w:t xml:space="preserve">Les œuvres d’art contemporain montrent une réflexivité individuelle sur l’appartenance culturelle, mais il est remarquable qu’elles le font toujours en lien avec le collectif, sans critique ou remise en </w:t>
      </w:r>
      <w:r w:rsidRPr="00604CB7">
        <w:rPr>
          <w:lang w:eastAsia="ar-SA"/>
        </w:rPr>
        <w:lastRenderedPageBreak/>
        <w:t xml:space="preserve">cause de la culture. La sélection exposée ne comporte pas d’œuvre rejetant la culture Maori ou même la mettant à distance, exprimant l’idée d’un déchirement, d’un exil intérieur, d’une étrangeté à soi-même ou d’un tiraillement entre deux cultures (comme par exemple le fonds d’art contemporain du musée de l’histoire de l’immigration, à la CNHI de Paris). Les œuvres comportent des messages à caractère universel : affirmation des femmes, respect de l’environnement, droit des peuples à l’auto-détermination…Mais elles puisent dans un répertoire formel et conceptuel de productions traditionnelles. S’observe une continuité stylistique dans les ornementations, un jeu récurrent sur les motifs et formes traditionnelles qui sont elles-mêmes conceptuelles, comme les </w:t>
      </w:r>
      <w:proofErr w:type="spellStart"/>
      <w:r w:rsidRPr="00604CB7">
        <w:rPr>
          <w:i/>
          <w:lang w:eastAsia="ar-SA"/>
        </w:rPr>
        <w:t>hei</w:t>
      </w:r>
      <w:proofErr w:type="spellEnd"/>
      <w:r w:rsidRPr="00604CB7">
        <w:rPr>
          <w:i/>
          <w:lang w:eastAsia="ar-SA"/>
        </w:rPr>
        <w:t xml:space="preserve"> </w:t>
      </w:r>
      <w:proofErr w:type="spellStart"/>
      <w:r w:rsidRPr="00604CB7">
        <w:rPr>
          <w:i/>
          <w:lang w:eastAsia="ar-SA"/>
        </w:rPr>
        <w:t>tiki</w:t>
      </w:r>
      <w:proofErr w:type="spellEnd"/>
      <w:r w:rsidRPr="00604CB7">
        <w:rPr>
          <w:lang w:eastAsia="ar-SA"/>
        </w:rPr>
        <w:t>, ou la représentation cartographique de la cosmogonie. Ces liens révèlent une articulation forte entre patrimoine, territoire et généalogie – propre à la culture Maori. Finalement, la sélection des œuvres d’art contemporain choisies pour figurer dans l’exposition procède d’un double jeu sur la notion d’art : sur le caractère « universel » de l’art (c’est-à-dire dominé par la vision occidentale), dans ses formes (tableaux, photographies) et dans ses thèmes (lutte pour les droits de l’humain) ; sur le caractère particulier de l’art (spécifique culturellement), dans ses formes (motifs) et dans ses thèmes (généalogie).</w:t>
      </w:r>
    </w:p>
    <w:p w:rsidR="00604CB7" w:rsidRPr="00604CB7" w:rsidRDefault="00604CB7" w:rsidP="00604CB7">
      <w:pPr>
        <w:rPr>
          <w:lang w:eastAsia="ar-SA"/>
        </w:rPr>
      </w:pPr>
      <w:r w:rsidRPr="00604CB7">
        <w:rPr>
          <w:lang w:eastAsia="ar-SA"/>
        </w:rPr>
        <w:t xml:space="preserve">Se trouvent également un autre type d’objets, qui pourraient faire l’objet d’un classement spontané dans la catégorie d’objets « témoins » ou d’objets « du quotidien » : une table et des chaises, une flute, un hameçon, une aiguille de tatouage, une photo de famille… Ce </w:t>
      </w:r>
      <w:proofErr w:type="spellStart"/>
      <w:r w:rsidRPr="00604CB7">
        <w:rPr>
          <w:lang w:eastAsia="ar-SA"/>
        </w:rPr>
        <w:t>sotn</w:t>
      </w:r>
      <w:proofErr w:type="spellEnd"/>
      <w:r w:rsidRPr="00604CB7">
        <w:rPr>
          <w:lang w:eastAsia="ar-SA"/>
        </w:rPr>
        <w:t xml:space="preserve"> des objets qui apparaissent liés à des pratiques usuelles et qui n’ont pas d’auteur identifié ou du moins s’affirmant comme artiste. Il reste toutefois difficile de les définir comme « objets du quotidien » :</w:t>
      </w:r>
    </w:p>
    <w:p w:rsidR="00604CB7" w:rsidRPr="00604CB7" w:rsidRDefault="00604CB7" w:rsidP="00604CB7">
      <w:pPr>
        <w:rPr>
          <w:lang w:eastAsia="ar-SA"/>
        </w:rPr>
      </w:pPr>
      <w:r w:rsidRPr="00604CB7">
        <w:rPr>
          <w:lang w:eastAsia="ar-SA"/>
        </w:rPr>
        <w:t>- ce serait un quotidien qui relève de l’exceptionnel et comporte une forte dimension rituelle : le tatouage, la pêche, la musique, la convivialité… renvoient à des univers fortement ritualisés, où la cosmogonie s’exprime, en tous cas des valeurs partagées, des concepts propres à la culture Maori ;</w:t>
      </w:r>
    </w:p>
    <w:p w:rsidR="00604CB7" w:rsidRPr="00604CB7" w:rsidRDefault="00604CB7" w:rsidP="00604CB7">
      <w:pPr>
        <w:rPr>
          <w:lang w:eastAsia="ar-SA"/>
        </w:rPr>
      </w:pPr>
      <w:r w:rsidRPr="00604CB7">
        <w:rPr>
          <w:lang w:eastAsia="ar-SA"/>
        </w:rPr>
        <w:t>- ce sont des objets à l’ornementation travaillée, qui mènent plus à la catégorie de « arts et traditions populaires » qu’à celles de « objets ethnographiques » (sans toutefois entrer dans celle de « beaux-arts ») ;</w:t>
      </w:r>
    </w:p>
    <w:p w:rsidR="00604CB7" w:rsidRPr="00604CB7" w:rsidRDefault="00604CB7" w:rsidP="00604CB7">
      <w:pPr>
        <w:rPr>
          <w:lang w:eastAsia="ar-SA"/>
        </w:rPr>
      </w:pPr>
      <w:r w:rsidRPr="00604CB7">
        <w:rPr>
          <w:lang w:eastAsia="ar-SA"/>
        </w:rPr>
        <w:t>- ce sont des objets qui se comprennent dans l’action, supports d’arts vivants ou d’arts de vivre</w:t>
      </w:r>
    </w:p>
    <w:p w:rsidR="00604CB7" w:rsidRPr="00604CB7" w:rsidRDefault="00604CB7" w:rsidP="00604CB7">
      <w:pPr>
        <w:rPr>
          <w:lang w:eastAsia="ar-SA"/>
        </w:rPr>
      </w:pPr>
      <w:r w:rsidRPr="00604CB7">
        <w:rPr>
          <w:lang w:eastAsia="ar-SA"/>
        </w:rPr>
        <w:t xml:space="preserve">Il est également difficile de les ranger dans la catégorie des « objets témoins » ou « objets ethnographiques » car cette catégorie implique une forme de regard extérieur et de mise à distance de ces éléments matériels (mise à distance scientifique ou patrimoniale). Or, ces objets sont, dans les catégories </w:t>
      </w:r>
      <w:r w:rsidRPr="00604CB7">
        <w:t>Maori</w:t>
      </w:r>
      <w:r w:rsidRPr="00604CB7">
        <w:rPr>
          <w:lang w:eastAsia="ar-SA"/>
        </w:rPr>
        <w:t>, porteurs d’une force vitale, animés d’une énergie active. Ils dépassent la fonction utilitaire pour incarner des concepts culturels, souvent liés à la connexion au passé, aux éléments naturels, à la généalogie…</w:t>
      </w:r>
    </w:p>
    <w:p w:rsidR="00604CB7" w:rsidRPr="00604CB7" w:rsidRDefault="00604CB7" w:rsidP="00604CB7">
      <w:pPr>
        <w:rPr>
          <w:lang w:eastAsia="ar-SA"/>
        </w:rPr>
      </w:pPr>
      <w:r w:rsidRPr="00604CB7">
        <w:rPr>
          <w:lang w:eastAsia="ar-SA"/>
        </w:rPr>
        <w:t>Autre cas de figure, autre catégorie spontanée de classement possible d’autres objets présentés : les archives, photographies et objets qui témoignent de luttes politiques menés par les Maori, et pourraient être considérés comm</w:t>
      </w:r>
      <w:r w:rsidRPr="00604CB7">
        <w:t>e « objets historiques ». Mais c’est une histoire en train de se faire, qui arrive jusqu’au présent (il y a par exemple des tee-shirts contemporains). Là aussi, ce sont des objets qui ont une force intrinsèque</w:t>
      </w:r>
      <w:r w:rsidRPr="00604CB7">
        <w:rPr>
          <w:lang w:eastAsia="ar-SA"/>
        </w:rPr>
        <w:t> :</w:t>
      </w:r>
      <w:r w:rsidRPr="00604CB7">
        <w:t xml:space="preserve"> « Objets symboles iconiques plus que objets témoins » d’après le catalogue d’exposition. Ils incarnent</w:t>
      </w:r>
      <w:r w:rsidRPr="00604CB7">
        <w:rPr>
          <w:lang w:eastAsia="ar-SA"/>
        </w:rPr>
        <w:t xml:space="preserve"> les combats plus qu’ils n’en témoignent. Ils comportent également une dimension sacrée, avec l’intégration et l’acceptation du rituel et de la croyance associée et non sa mise à distance. Par exemple, le bâton du drapeau ne touche pas terre. Il y a </w:t>
      </w:r>
      <w:r w:rsidRPr="00604CB7">
        <w:rPr>
          <w:lang w:eastAsia="ar-SA"/>
        </w:rPr>
        <w:lastRenderedPageBreak/>
        <w:t>toutefois une dimension de légitimation culturelle par l’art, puisque de nombreuses photographies qui documentent la lutte sont signées de photographes se présentant et étant reconnus comme artistes. Deux registres de rhétorique culturelle sont ainsi mobilisés : l’idée de « culture » vivante, vécue, vue de l’intérieur ; l’idée de « culture » plus classique, légitimée par l’art.</w:t>
      </w:r>
    </w:p>
    <w:p w:rsidR="00604CB7" w:rsidRPr="00604CB7" w:rsidRDefault="00604CB7" w:rsidP="00604CB7">
      <w:pPr>
        <w:rPr>
          <w:lang w:eastAsia="ar-SA"/>
        </w:rPr>
      </w:pPr>
      <w:r w:rsidRPr="00604CB7">
        <w:rPr>
          <w:lang w:eastAsia="ar-SA"/>
        </w:rPr>
        <w:t xml:space="preserve">Finalement, y </w:t>
      </w:r>
      <w:proofErr w:type="spellStart"/>
      <w:r w:rsidRPr="00604CB7">
        <w:rPr>
          <w:lang w:eastAsia="ar-SA"/>
        </w:rPr>
        <w:t>a-t-il</w:t>
      </w:r>
      <w:proofErr w:type="spellEnd"/>
      <w:r w:rsidRPr="00604CB7">
        <w:rPr>
          <w:lang w:eastAsia="ar-SA"/>
        </w:rPr>
        <w:t xml:space="preserve"> dans cette exposition des objets autres que rituels ou sacrés ? Y </w:t>
      </w:r>
      <w:proofErr w:type="spellStart"/>
      <w:r w:rsidRPr="00604CB7">
        <w:rPr>
          <w:lang w:eastAsia="ar-SA"/>
        </w:rPr>
        <w:t>a-t-il</w:t>
      </w:r>
      <w:proofErr w:type="spellEnd"/>
      <w:r w:rsidRPr="00604CB7">
        <w:rPr>
          <w:lang w:eastAsia="ar-SA"/>
        </w:rPr>
        <w:t xml:space="preserve"> des objets autres que « de l’art » tant la polysémie du concept s’y déploie ? De fait, l’exposition est conçue et présentée, dans son versant matériel, comme une occasion de présenter au public les </w:t>
      </w:r>
      <w:proofErr w:type="spellStart"/>
      <w:r w:rsidRPr="00604CB7">
        <w:rPr>
          <w:i/>
          <w:lang w:eastAsia="ar-SA"/>
        </w:rPr>
        <w:t>taonga</w:t>
      </w:r>
      <w:proofErr w:type="spellEnd"/>
      <w:r w:rsidRPr="00604CB7">
        <w:rPr>
          <w:lang w:eastAsia="ar-SA"/>
        </w:rPr>
        <w:t xml:space="preserve">, les trésors culturels Maori – le versant conceptuel étant plus politique, centré sur le droit et la lutte pour l’auto-détermination. Peu d’éléments exposés sont exclus de cette catégorie indigène des </w:t>
      </w:r>
      <w:proofErr w:type="spellStart"/>
      <w:r w:rsidRPr="00604CB7">
        <w:rPr>
          <w:i/>
          <w:lang w:eastAsia="ar-SA"/>
        </w:rPr>
        <w:t>taonga</w:t>
      </w:r>
      <w:proofErr w:type="spellEnd"/>
      <w:r w:rsidRPr="00604CB7">
        <w:rPr>
          <w:lang w:eastAsia="ar-SA"/>
        </w:rPr>
        <w:t xml:space="preserve">, qui englobe, d’après le catalogue d’exposition « les expressions – tangibles ou non – de la culture maori ». Les </w:t>
      </w:r>
      <w:proofErr w:type="spellStart"/>
      <w:r w:rsidRPr="00604CB7">
        <w:rPr>
          <w:i/>
          <w:lang w:eastAsia="ar-SA"/>
        </w:rPr>
        <w:t>taonga</w:t>
      </w:r>
      <w:proofErr w:type="spellEnd"/>
      <w:r w:rsidRPr="00604CB7">
        <w:rPr>
          <w:lang w:eastAsia="ar-SA"/>
        </w:rPr>
        <w:t xml:space="preserve"> sont ainsi à la fois l’objet matériel, la technique associée, le résultat, le concept… (</w:t>
      </w:r>
      <w:proofErr w:type="gramStart"/>
      <w:r w:rsidRPr="00604CB7">
        <w:rPr>
          <w:lang w:eastAsia="ar-SA"/>
        </w:rPr>
        <w:t>ex</w:t>
      </w:r>
      <w:proofErr w:type="gramEnd"/>
      <w:r w:rsidRPr="00604CB7">
        <w:rPr>
          <w:lang w:eastAsia="ar-SA"/>
        </w:rPr>
        <w:t>. du tatouage). Les objets choisis pour être présentés s’inscrivent dans un double paradigme patrimonial : une vision indigène du patrimoine où le passé vit dans le présent, où la frontière n’existe pas entre matériel et immatériel, où les hommes sont reliés entre eux et à un ensemble plus large ; une vision plus internationale, qui trouve son expression dans la forme muséale de l’exposition et en amont dans la conservation et encore en amont dans la collection où certains objets sont « au-dessus », dignes d’être séparés du monde quotidien, dignes d’</w:t>
      </w:r>
      <w:proofErr w:type="spellStart"/>
      <w:r w:rsidRPr="00604CB7">
        <w:rPr>
          <w:lang w:eastAsia="ar-SA"/>
        </w:rPr>
        <w:t>êtres</w:t>
      </w:r>
      <w:proofErr w:type="spellEnd"/>
      <w:r w:rsidRPr="00604CB7">
        <w:rPr>
          <w:lang w:eastAsia="ar-SA"/>
        </w:rPr>
        <w:t xml:space="preserve"> conservés et transmis – généralement ceux qui sont rares, précieux, beaux (=trésors) ; où l’art est l’étalon à l’aune duquel s’évaluent les différentes hiérarchies entre les objets. Ici, les objets choisis s’inscrivent dans ce double paradigme patrimonial, artistique et culturellement vivant : ce sont des objets d’art, reconnus comme tels ; ce sont plus que cela puisqu’ils sont encore « vivants », actifs – par opposition au classique objet de musée, généralement considéré comme mort. Ces objets résistent à la neutralisation muséale, presque à la stérilisation patrimoniale, en superposant à l’acceptation de la reconnaissance artistique le maintien des croyances. Cela se joue dans la sélection des objets donnés à voir, mais aussi dans la façon de les donner à voir.</w:t>
      </w:r>
    </w:p>
    <w:bookmarkEnd w:id="28"/>
    <w:bookmarkEnd w:id="29"/>
    <w:bookmarkEnd w:id="30"/>
    <w:p w:rsidR="00604CB7" w:rsidRPr="00604CB7" w:rsidRDefault="00604CB7" w:rsidP="00604CB7">
      <w:pPr>
        <w:keepNext/>
        <w:keepLines/>
        <w:spacing w:before="200" w:after="0"/>
        <w:outlineLvl w:val="2"/>
        <w:rPr>
          <w:rFonts w:eastAsia="Times New Roman" w:cstheme="majorBidi"/>
          <w:b/>
          <w:bCs/>
          <w:color w:val="4F81BD" w:themeColor="accent1"/>
          <w:lang w:eastAsia="ar-SA"/>
        </w:rPr>
      </w:pPr>
      <w:r w:rsidRPr="00604CB7">
        <w:rPr>
          <w:rFonts w:asciiTheme="majorHAnsi" w:eastAsia="Times New Roman" w:hAnsiTheme="majorHAnsi" w:cstheme="majorBidi"/>
          <w:b/>
          <w:bCs/>
          <w:color w:val="4F81BD" w:themeColor="accent1"/>
          <w:lang w:eastAsia="ar-SA"/>
        </w:rPr>
        <w:t xml:space="preserve"> </w:t>
      </w:r>
      <w:bookmarkStart w:id="31" w:name="_Toc385923156"/>
      <w:bookmarkStart w:id="32" w:name="_Toc385923200"/>
      <w:r w:rsidRPr="00604CB7">
        <w:rPr>
          <w:rFonts w:asciiTheme="majorHAnsi" w:eastAsia="Times New Roman" w:hAnsiTheme="majorHAnsi" w:cstheme="majorBidi"/>
          <w:b/>
          <w:bCs/>
          <w:color w:val="4F81BD" w:themeColor="accent1"/>
          <w:lang w:eastAsia="ar-SA"/>
        </w:rPr>
        <w:t>Les créations scénographiques : entre dramatisation des espaces et intimité du rapport aux objets :</w:t>
      </w:r>
      <w:bookmarkEnd w:id="31"/>
      <w:bookmarkEnd w:id="32"/>
      <w:r w:rsidRPr="00604CB7">
        <w:rPr>
          <w:rFonts w:asciiTheme="majorHAnsi" w:eastAsia="Times New Roman" w:hAnsiTheme="majorHAnsi" w:cstheme="majorBidi"/>
          <w:b/>
          <w:bCs/>
          <w:color w:val="4F81BD" w:themeColor="accent1"/>
          <w:lang w:eastAsia="ar-SA"/>
        </w:rPr>
        <w:t xml:space="preserve"> </w:t>
      </w:r>
    </w:p>
    <w:p w:rsidR="00604CB7" w:rsidRPr="00604CB7" w:rsidRDefault="00604CB7" w:rsidP="00604CB7">
      <w:pPr>
        <w:rPr>
          <w:lang w:eastAsia="ar-SA"/>
        </w:rPr>
      </w:pPr>
      <w:r w:rsidRPr="00604CB7">
        <w:rPr>
          <w:lang w:eastAsia="ar-SA"/>
        </w:rPr>
        <w:t xml:space="preserve">Concernant la scénographie et le design, nos observations ont porté sur le mobilier, tel que les systèmes de </w:t>
      </w:r>
      <w:proofErr w:type="spellStart"/>
      <w:r w:rsidRPr="00604CB7">
        <w:rPr>
          <w:lang w:eastAsia="ar-SA"/>
        </w:rPr>
        <w:t>soclage</w:t>
      </w:r>
      <w:proofErr w:type="spellEnd"/>
      <w:r w:rsidRPr="00604CB7">
        <w:rPr>
          <w:lang w:eastAsia="ar-SA"/>
        </w:rPr>
        <w:t xml:space="preserve"> et les vitrines, éléments qui cadrent la perception et prescrivent plus ou moins fortement la façon de regarder les objets. Nous avons tenu compte de la disposition des objets, des fonds et des éclairages qui les encadrent. Nous avons enfin comparé les positionnements dans l’espace, les relations de proximité ou d’éloignement entre objets, les manières de faire dialoguer des objets.</w:t>
      </w:r>
    </w:p>
    <w:p w:rsidR="00604CB7" w:rsidRPr="00604CB7" w:rsidRDefault="00604CB7" w:rsidP="00604CB7">
      <w:pPr>
        <w:rPr>
          <w:lang w:eastAsia="ar-SA"/>
        </w:rPr>
      </w:pPr>
      <w:r w:rsidRPr="00604CB7">
        <w:rPr>
          <w:lang w:eastAsia="ar-SA"/>
        </w:rPr>
        <w:t>Il est notable que les objets dans l’exposition sont présentés en fonction de leur usage. Ainsi, un entonnoir utilisé pour se nourrir après un tatouage est présenté dans le sens de son utilisation : dans la position qu’il aurait en fonction, soit la partie ouverte destinée à verser la nourriture vers le haut et en position horizontale. Cette position se distingue de celle, adoptée dans l’exposition du plateau des collections au musée du quai Branly, verticale avec le fond de l’entonnoir placé vers le visiteur, position qui favorise la vue des gravures sur la partie inférieure. Si la présentation dans le sens de l’usage est aussi adoptée au TPT, dans l’exposition permanente « </w:t>
      </w:r>
      <w:r w:rsidRPr="00604CB7">
        <w:rPr>
          <w:i/>
          <w:lang w:eastAsia="ar-SA"/>
        </w:rPr>
        <w:t xml:space="preserve">Mana </w:t>
      </w:r>
      <w:proofErr w:type="spellStart"/>
      <w:r w:rsidRPr="00604CB7">
        <w:rPr>
          <w:i/>
          <w:lang w:eastAsia="ar-SA"/>
        </w:rPr>
        <w:t>Whenua</w:t>
      </w:r>
      <w:proofErr w:type="spellEnd"/>
      <w:r w:rsidRPr="00604CB7">
        <w:rPr>
          <w:lang w:eastAsia="ar-SA"/>
        </w:rPr>
        <w:t xml:space="preserve"> » consacrée aux </w:t>
      </w:r>
      <w:proofErr w:type="spellStart"/>
      <w:r w:rsidRPr="00604CB7">
        <w:rPr>
          <w:lang w:eastAsia="ar-SA"/>
        </w:rPr>
        <w:t>Māori</w:t>
      </w:r>
      <w:proofErr w:type="spellEnd"/>
      <w:r w:rsidRPr="00604CB7">
        <w:rPr>
          <w:lang w:eastAsia="ar-SA"/>
        </w:rPr>
        <w:t xml:space="preserve">, c’est cependant uniquement en compagnie d’autres </w:t>
      </w:r>
      <w:proofErr w:type="spellStart"/>
      <w:r w:rsidRPr="00604CB7">
        <w:rPr>
          <w:i/>
          <w:lang w:eastAsia="ar-SA"/>
        </w:rPr>
        <w:t>taonga</w:t>
      </w:r>
      <w:proofErr w:type="spellEnd"/>
      <w:r w:rsidRPr="00604CB7">
        <w:rPr>
          <w:lang w:eastAsia="ar-SA"/>
        </w:rPr>
        <w:t xml:space="preserve"> traditionnels. Dans « </w:t>
      </w:r>
      <w:r w:rsidRPr="00604CB7">
        <w:rPr>
          <w:i/>
          <w:lang w:eastAsia="ar-SA"/>
        </w:rPr>
        <w:t xml:space="preserve">E </w:t>
      </w:r>
      <w:proofErr w:type="spellStart"/>
      <w:r w:rsidRPr="00604CB7">
        <w:rPr>
          <w:i/>
          <w:lang w:eastAsia="ar-SA"/>
        </w:rPr>
        <w:t>tū</w:t>
      </w:r>
      <w:proofErr w:type="spellEnd"/>
      <w:r w:rsidRPr="00604CB7">
        <w:rPr>
          <w:i/>
          <w:lang w:eastAsia="ar-SA"/>
        </w:rPr>
        <w:t xml:space="preserve"> </w:t>
      </w:r>
      <w:proofErr w:type="spellStart"/>
      <w:r w:rsidRPr="00604CB7">
        <w:rPr>
          <w:i/>
          <w:lang w:eastAsia="ar-SA"/>
        </w:rPr>
        <w:t>Ake</w:t>
      </w:r>
      <w:proofErr w:type="spellEnd"/>
      <w:r w:rsidRPr="00604CB7">
        <w:rPr>
          <w:lang w:eastAsia="ar-SA"/>
        </w:rPr>
        <w:t xml:space="preserve"> », la coprésence d’objets plus techniques (aiguilles de tatoueur) et de témoignages (vidéos de personnes </w:t>
      </w:r>
      <w:proofErr w:type="spellStart"/>
      <w:r w:rsidRPr="00604CB7">
        <w:rPr>
          <w:lang w:eastAsia="ar-SA"/>
        </w:rPr>
        <w:t>māori</w:t>
      </w:r>
      <w:proofErr w:type="spellEnd"/>
      <w:r w:rsidRPr="00604CB7">
        <w:rPr>
          <w:lang w:eastAsia="ar-SA"/>
        </w:rPr>
        <w:t xml:space="preserve"> tatouées) insiste sur la signification sociale du tatouage, en termes de </w:t>
      </w:r>
      <w:r w:rsidRPr="00604CB7">
        <w:rPr>
          <w:lang w:eastAsia="ar-SA"/>
        </w:rPr>
        <w:lastRenderedPageBreak/>
        <w:t xml:space="preserve">reconnaissance des mérites individuels et de filiation spirituelle avec les ascendants, sur la tradition culturelle de l’art du tatouage. Cette présentation complexifie ainsi la présentation du </w:t>
      </w:r>
      <w:r w:rsidRPr="00604CB7">
        <w:rPr>
          <w:i/>
          <w:lang w:eastAsia="ar-SA"/>
        </w:rPr>
        <w:t>Ta moko</w:t>
      </w:r>
      <w:r w:rsidRPr="00604CB7">
        <w:rPr>
          <w:lang w:eastAsia="ar-SA"/>
        </w:rPr>
        <w:t xml:space="preserve">, art du tatouage, </w:t>
      </w:r>
      <w:proofErr w:type="spellStart"/>
      <w:r w:rsidRPr="00604CB7">
        <w:rPr>
          <w:i/>
          <w:lang w:eastAsia="ar-SA"/>
        </w:rPr>
        <w:t>taonga</w:t>
      </w:r>
      <w:proofErr w:type="spellEnd"/>
      <w:r w:rsidRPr="00604CB7">
        <w:rPr>
          <w:lang w:eastAsia="ar-SA"/>
        </w:rPr>
        <w:t xml:space="preserve"> à la fois matériel et immatériel, dont le statut, saisi habituellement au musée du quai Branly principalement comme « art » à travers l’esthétique des objets, est mis en question.</w:t>
      </w:r>
    </w:p>
    <w:p w:rsidR="00604CB7" w:rsidRPr="00604CB7" w:rsidRDefault="00604CB7" w:rsidP="00604CB7">
      <w:pPr>
        <w:rPr>
          <w:lang w:eastAsia="ar-SA"/>
        </w:rPr>
      </w:pPr>
      <w:r w:rsidRPr="00604CB7">
        <w:rPr>
          <w:lang w:eastAsia="ar-SA"/>
        </w:rPr>
        <w:t xml:space="preserve">On observe également que </w:t>
      </w:r>
      <w:bookmarkStart w:id="33" w:name="_Toc368402315"/>
      <w:bookmarkStart w:id="34" w:name="_Toc368490602"/>
      <w:bookmarkStart w:id="35" w:name="_Toc368490812"/>
      <w:r w:rsidRPr="00604CB7">
        <w:rPr>
          <w:lang w:eastAsia="ar-SA"/>
        </w:rPr>
        <w:t>la disposition des objets est régie par la nature plus ou moins sacrée des objets</w:t>
      </w:r>
      <w:bookmarkEnd w:id="33"/>
      <w:bookmarkEnd w:id="34"/>
      <w:bookmarkEnd w:id="35"/>
      <w:r w:rsidRPr="00604CB7">
        <w:rPr>
          <w:lang w:eastAsia="ar-SA"/>
        </w:rPr>
        <w:t xml:space="preserve">.  Au cours de l’installation, l’équipe de supervision </w:t>
      </w:r>
      <w:proofErr w:type="spellStart"/>
      <w:r w:rsidRPr="00604CB7">
        <w:rPr>
          <w:lang w:eastAsia="ar-SA"/>
        </w:rPr>
        <w:t>māori</w:t>
      </w:r>
      <w:proofErr w:type="spellEnd"/>
      <w:r w:rsidRPr="00604CB7">
        <w:rPr>
          <w:lang w:eastAsia="ar-SA"/>
        </w:rPr>
        <w:t xml:space="preserve"> a accompagné les équipes locales afin que les soins adéquats soient apportés : respect de certains tabous en présence des objets, prières à formuler avant la manipulation. Dans la scénographie, c’est la disposition des objets qui traduit le caractère précieux et sacré des </w:t>
      </w:r>
      <w:proofErr w:type="spellStart"/>
      <w:r w:rsidRPr="00604CB7">
        <w:rPr>
          <w:i/>
          <w:lang w:eastAsia="ar-SA"/>
        </w:rPr>
        <w:t>taonga</w:t>
      </w:r>
      <w:proofErr w:type="spellEnd"/>
      <w:r w:rsidRPr="00604CB7">
        <w:rPr>
          <w:lang w:eastAsia="ar-SA"/>
        </w:rPr>
        <w:t xml:space="preserve">. La répartition spatiale de ces objets traduit un respect et donne à la visite une solennité, qui est plus affirmée au TPT que dans les autres présentations.  Ces différences sont sensibles lorsque l’on compare par exemple, entre Wellington et Paris, l’ordre de l’emplacement et le mode de présentation de deux objets dans la séquence d’introduction: le canot cénotaphe et le masque funéraire de </w:t>
      </w:r>
      <w:proofErr w:type="spellStart"/>
      <w:r w:rsidRPr="00604CB7">
        <w:rPr>
          <w:lang w:eastAsia="ar-SA"/>
        </w:rPr>
        <w:t>Wiremu</w:t>
      </w:r>
      <w:proofErr w:type="spellEnd"/>
      <w:r w:rsidRPr="00604CB7">
        <w:rPr>
          <w:lang w:eastAsia="ar-SA"/>
        </w:rPr>
        <w:t xml:space="preserve"> Te </w:t>
      </w:r>
      <w:proofErr w:type="spellStart"/>
      <w:r w:rsidRPr="00604CB7">
        <w:rPr>
          <w:lang w:eastAsia="ar-SA"/>
        </w:rPr>
        <w:t>Manewha</w:t>
      </w:r>
      <w:proofErr w:type="spellEnd"/>
      <w:r w:rsidRPr="00604CB7">
        <w:rPr>
          <w:lang w:eastAsia="ar-SA"/>
        </w:rPr>
        <w:t>. A Wellington, le canot cénotaphe de bois sculpté fait partie des seuils symboliques qui guident le visiteur, depuis la pierre de jade (</w:t>
      </w:r>
      <w:proofErr w:type="spellStart"/>
      <w:r w:rsidRPr="00604CB7">
        <w:rPr>
          <w:i/>
          <w:lang w:eastAsia="ar-SA"/>
        </w:rPr>
        <w:t>pounamou</w:t>
      </w:r>
      <w:proofErr w:type="spellEnd"/>
      <w:r w:rsidRPr="00604CB7">
        <w:rPr>
          <w:lang w:eastAsia="ar-SA"/>
        </w:rPr>
        <w:t>) qu’il est invitée à toucher (rite de purification et d’échange des forces), la vidéo introductive (montage qui insiste sur la transmission intergénérationnelle de la culture), et la présentation des trois trésors culturels dans les vitrines centrales (illustrant les trois concepts principaux de généalogie, de prestige et de conservation de l’environnement). Le cénotaphe enfin, met en contact avec le passé (car c’est un mémorial) et impose le respect dû aux ascendants</w:t>
      </w:r>
      <w:r w:rsidRPr="00604CB7">
        <w:rPr>
          <w:vertAlign w:val="superscript"/>
          <w:lang w:eastAsia="ar-SA"/>
        </w:rPr>
        <w:footnoteReference w:id="7"/>
      </w:r>
      <w:r w:rsidRPr="00604CB7">
        <w:rPr>
          <w:lang w:eastAsia="ar-SA"/>
        </w:rPr>
        <w:t xml:space="preserve">. Comme au Te Papa, il fait office de seuil et de sas pour entrer dans le monde de l’exposition, où sont en contact les vivants et leurs ancêtres. Lui fait suite la découverte du masque funéraire d’un chef respecté, </w:t>
      </w:r>
      <w:proofErr w:type="spellStart"/>
      <w:r w:rsidRPr="00604CB7">
        <w:rPr>
          <w:lang w:eastAsia="ar-SA"/>
        </w:rPr>
        <w:t>Wiremu</w:t>
      </w:r>
      <w:proofErr w:type="spellEnd"/>
      <w:r w:rsidRPr="00604CB7">
        <w:rPr>
          <w:lang w:eastAsia="ar-SA"/>
        </w:rPr>
        <w:t xml:space="preserve"> Te </w:t>
      </w:r>
      <w:proofErr w:type="spellStart"/>
      <w:r w:rsidRPr="00604CB7">
        <w:rPr>
          <w:lang w:eastAsia="ar-SA"/>
        </w:rPr>
        <w:t>Manewha</w:t>
      </w:r>
      <w:proofErr w:type="spellEnd"/>
      <w:r w:rsidRPr="00604CB7">
        <w:rPr>
          <w:lang w:eastAsia="ar-SA"/>
        </w:rPr>
        <w:t>, masque de plâtre sur lequel les tatouages témoignant du prestige du chef ont été reportés. Le masque est posé à plat sur un plan de vitrine pupitre, à fond blanc. Les photos de descendants dans leurs maisons encadrent la vitrine, et une grande photographie en frise sur le mur blanc adjacent les montrent tous rassemblés. La disposition permet de faire le lien entre les objets, et augmente le respect ressenti envers l’un et l’autre, en allant de l’un à l’autre.</w:t>
      </w:r>
    </w:p>
    <w:p w:rsidR="00604CB7" w:rsidRPr="00604CB7" w:rsidRDefault="00604CB7" w:rsidP="00604CB7">
      <w:pPr>
        <w:rPr>
          <w:lang w:eastAsia="ar-SA"/>
        </w:rPr>
      </w:pPr>
      <w:r w:rsidRPr="00604CB7">
        <w:rPr>
          <w:lang w:eastAsia="ar-SA"/>
        </w:rPr>
        <w:t>A Paris, la séquence se trouve modifiée, et donne une présentation à la fois plus dramatique et moins axée sur le solennel. La mise en scène dramatique du masque ouvre l’exposition. Isolé et mis en majesté par la vitrine où il est exposé, orienté de biais vers les visiteurs, son pouvoir expressif est rendu impressionnant par un éclairage au pinceau très finement dirigé, qui ressort sur le fond noir. Au premier abord, sa véritable nature n’est pas évidente, et prête à confusion. Certains visiteurs ont des mouvements de recul ou de gêne. On découvre seulement après, et un peu plus éloigné les photos des descendants, sur une cloison de fond noir. C’est seulement dans la seconde section que l’on découvre le portail, appliqué contre le mur près de la maison de réunion (</w:t>
      </w:r>
      <w:r w:rsidRPr="00604CB7">
        <w:rPr>
          <w:i/>
          <w:lang w:eastAsia="ar-SA"/>
        </w:rPr>
        <w:t>marae)</w:t>
      </w:r>
      <w:r w:rsidRPr="00604CB7">
        <w:rPr>
          <w:lang w:eastAsia="ar-SA"/>
        </w:rPr>
        <w:t>. Appuyé sur le fond blanc de l’espace d’exposition, il est moins impressionnant car, comme on le contemple de plus loin, la perception de la dimension monumentale est moins forte</w:t>
      </w:r>
      <w:r w:rsidRPr="00604CB7">
        <w:rPr>
          <w:vertAlign w:val="superscript"/>
          <w:lang w:eastAsia="ar-SA"/>
        </w:rPr>
        <w:t xml:space="preserve">. </w:t>
      </w:r>
      <w:r w:rsidRPr="00604CB7">
        <w:rPr>
          <w:lang w:eastAsia="ar-SA"/>
        </w:rPr>
        <w:t xml:space="preserve"> Selon les présentations, le ressenti de la dimension solennelle et de la filiation avec les ascendants peuvent ainsi être variables, ainsi que les significations construites par les visiteurs.</w:t>
      </w:r>
    </w:p>
    <w:p w:rsidR="00604CB7" w:rsidRPr="00604CB7" w:rsidRDefault="00604CB7" w:rsidP="00604CB7">
      <w:pPr>
        <w:rPr>
          <w:lang w:eastAsia="ar-SA"/>
        </w:rPr>
      </w:pPr>
      <w:bookmarkStart w:id="36" w:name="_Toc368490604"/>
      <w:bookmarkStart w:id="37" w:name="_Toc368490814"/>
      <w:r w:rsidRPr="00604CB7">
        <w:rPr>
          <w:lang w:eastAsia="ar-SA"/>
        </w:rPr>
        <w:t xml:space="preserve">L’ambiance générale sobre, produite par le design et la scénographie s’accorde à Wellington, avec </w:t>
      </w:r>
      <w:bookmarkEnd w:id="36"/>
      <w:bookmarkEnd w:id="37"/>
      <w:r w:rsidRPr="00604CB7">
        <w:rPr>
          <w:lang w:eastAsia="ar-SA"/>
        </w:rPr>
        <w:t>le respect qu’inspirent les objets. L’espace de l’exposition est un « </w:t>
      </w:r>
      <w:r w:rsidRPr="00604CB7">
        <w:rPr>
          <w:i/>
          <w:lang w:eastAsia="ar-SA"/>
        </w:rPr>
        <w:t>white cube</w:t>
      </w:r>
      <w:r w:rsidRPr="00604CB7">
        <w:rPr>
          <w:lang w:eastAsia="ar-SA"/>
        </w:rPr>
        <w:t xml:space="preserve"> », qui tend par un décor sobre, à la neutralisation des fonds et à une atmosphère solennelle. A Paris, le blanc domine </w:t>
      </w:r>
      <w:r w:rsidRPr="00604CB7">
        <w:rPr>
          <w:lang w:eastAsia="ar-SA"/>
        </w:rPr>
        <w:lastRenderedPageBreak/>
        <w:t>également, dans la galerie jardin, dans une disposition globalement plus aérée. A Québec, à l’inverse, le noir domine, dans une présentation plus resserrée, qui donne une impression d’intimité plus prononcée. Est ici favorisée l’expérience intime d’</w:t>
      </w:r>
      <w:proofErr w:type="spellStart"/>
      <w:r w:rsidRPr="00604CB7">
        <w:rPr>
          <w:lang w:eastAsia="ar-SA"/>
        </w:rPr>
        <w:t>oeuvres</w:t>
      </w:r>
      <w:proofErr w:type="spellEnd"/>
      <w:r w:rsidRPr="00604CB7">
        <w:rPr>
          <w:lang w:eastAsia="ar-SA"/>
        </w:rPr>
        <w:t xml:space="preserve"> impressionnantes, porteuses de force, qui </w:t>
      </w:r>
      <w:proofErr w:type="gramStart"/>
      <w:r w:rsidRPr="00604CB7">
        <w:rPr>
          <w:lang w:eastAsia="ar-SA"/>
        </w:rPr>
        <w:t>sont</w:t>
      </w:r>
      <w:proofErr w:type="gramEnd"/>
      <w:r w:rsidRPr="00604CB7">
        <w:rPr>
          <w:lang w:eastAsia="ar-SA"/>
        </w:rPr>
        <w:t xml:space="preserve"> les expressions esthétique d’une culture.</w:t>
      </w:r>
    </w:p>
    <w:p w:rsidR="00604CB7" w:rsidRPr="00604CB7" w:rsidRDefault="00604CB7" w:rsidP="00604CB7">
      <w:pPr>
        <w:rPr>
          <w:lang w:eastAsia="ar-SA"/>
        </w:rPr>
      </w:pPr>
      <w:r w:rsidRPr="00604CB7">
        <w:rPr>
          <w:lang w:eastAsia="ar-SA"/>
        </w:rPr>
        <w:t xml:space="preserve">Concernant la disposition spatiale et le type de présentation des objets dans les différentes sections de l’exposition, des adaptations ont eu lieu, résultant de l’intervention des personnels des musées d’accueil et des scénographes. A Paris, le scénographe parisien, propose, lors de sa visite à Wellington, d’éclairer l’ensemble par un jeu d’ombre de motifs de tatouages. L’idée produit un choc d’incompréhension de l’équipe (des </w:t>
      </w:r>
      <w:proofErr w:type="spellStart"/>
      <w:r w:rsidRPr="00604CB7">
        <w:rPr>
          <w:lang w:eastAsia="ar-SA"/>
        </w:rPr>
        <w:t>Māori</w:t>
      </w:r>
      <w:proofErr w:type="spellEnd"/>
      <w:r w:rsidRPr="00604CB7">
        <w:rPr>
          <w:lang w:eastAsia="ar-SA"/>
        </w:rPr>
        <w:t xml:space="preserve"> et des </w:t>
      </w:r>
      <w:proofErr w:type="spellStart"/>
      <w:r w:rsidRPr="00604CB7">
        <w:rPr>
          <w:lang w:eastAsia="ar-SA"/>
        </w:rPr>
        <w:t>Pakeha</w:t>
      </w:r>
      <w:proofErr w:type="spellEnd"/>
      <w:r w:rsidRPr="00604CB7">
        <w:rPr>
          <w:lang w:eastAsia="ar-SA"/>
        </w:rPr>
        <w:t xml:space="preserve">). </w:t>
      </w:r>
      <w:proofErr w:type="gramStart"/>
      <w:r w:rsidRPr="00604CB7">
        <w:rPr>
          <w:lang w:eastAsia="ar-SA"/>
        </w:rPr>
        <w:t>de</w:t>
      </w:r>
      <w:proofErr w:type="gramEnd"/>
      <w:r w:rsidRPr="00604CB7">
        <w:rPr>
          <w:lang w:eastAsia="ar-SA"/>
        </w:rPr>
        <w:t xml:space="preserve"> Wellington, car les tatouages ont une signification spirituelle pour les porteurs et leur création est réservée aux experts. Finalement, un compromis est établi pour créer des motifs à partir de modèle transmis par le TPT. Finalement, dans les projections d’ombres formant une résille, les motifs évoquent plutôt des moucharabiehs. L’ensemble produit, dans l’espace un peu trop vaste de la galerie jardin,  une lumière plus douce, où les motifs qui se reflètent dans les vitrines jouent comme miroirs des formes des œuvres. Dans la partie centrale de l’exposition, l’intervention de la chargée de production, Magali </w:t>
      </w:r>
      <w:proofErr w:type="spellStart"/>
      <w:r w:rsidRPr="00604CB7">
        <w:rPr>
          <w:lang w:eastAsia="ar-SA"/>
        </w:rPr>
        <w:t>Mélandri</w:t>
      </w:r>
      <w:proofErr w:type="spellEnd"/>
      <w:r w:rsidRPr="00604CB7">
        <w:rPr>
          <w:lang w:eastAsia="ar-SA"/>
        </w:rPr>
        <w:t xml:space="preserve">, qui s’est vu attribuer, en tant que responsable des collections océaniennes, le rôle de « conseillère » locale, conduit à modifier la scénographie : afin de rendre sensible le caractère sacré des </w:t>
      </w:r>
      <w:proofErr w:type="spellStart"/>
      <w:r w:rsidRPr="00604CB7">
        <w:rPr>
          <w:i/>
          <w:lang w:eastAsia="ar-SA"/>
        </w:rPr>
        <w:t>taonga</w:t>
      </w:r>
      <w:proofErr w:type="spellEnd"/>
      <w:r w:rsidRPr="00604CB7">
        <w:rPr>
          <w:lang w:eastAsia="ar-SA"/>
        </w:rPr>
        <w:t>, il est proposé de</w:t>
      </w:r>
      <w:r w:rsidRPr="00604CB7">
        <w:rPr>
          <w:i/>
          <w:lang w:eastAsia="ar-SA"/>
        </w:rPr>
        <w:t xml:space="preserve"> </w:t>
      </w:r>
      <w:r w:rsidRPr="00604CB7">
        <w:rPr>
          <w:lang w:eastAsia="ar-SA"/>
        </w:rPr>
        <w:t xml:space="preserve">resserrer les zones de passage dans la section de présentation des capes et des </w:t>
      </w:r>
      <w:proofErr w:type="spellStart"/>
      <w:r w:rsidRPr="00604CB7">
        <w:rPr>
          <w:i/>
          <w:lang w:eastAsia="ar-SA"/>
        </w:rPr>
        <w:t>hei</w:t>
      </w:r>
      <w:proofErr w:type="spellEnd"/>
      <w:r w:rsidRPr="00604CB7">
        <w:rPr>
          <w:i/>
          <w:lang w:eastAsia="ar-SA"/>
        </w:rPr>
        <w:t xml:space="preserve"> </w:t>
      </w:r>
      <w:proofErr w:type="spellStart"/>
      <w:r w:rsidRPr="00604CB7">
        <w:rPr>
          <w:i/>
          <w:lang w:eastAsia="ar-SA"/>
        </w:rPr>
        <w:t>tiki</w:t>
      </w:r>
      <w:proofErr w:type="spellEnd"/>
      <w:r w:rsidRPr="00604CB7">
        <w:rPr>
          <w:lang w:eastAsia="ar-SA"/>
        </w:rPr>
        <w:t xml:space="preserve"> : la restriction des espaces de circulation permet un contact plus intime, qui exhausse la beauté et la force qui émane de ces objets précieux, ce qui est d’ailleurs ressenti par quelques </w:t>
      </w:r>
      <w:commentRangeStart w:id="38"/>
      <w:r w:rsidRPr="00604CB7">
        <w:rPr>
          <w:lang w:eastAsia="ar-SA"/>
        </w:rPr>
        <w:t>visiteurs</w:t>
      </w:r>
      <w:commentRangeEnd w:id="38"/>
      <w:r w:rsidRPr="00604CB7">
        <w:rPr>
          <w:sz w:val="16"/>
          <w:szCs w:val="16"/>
        </w:rPr>
        <w:commentReference w:id="38"/>
      </w:r>
      <w:r w:rsidRPr="00604CB7">
        <w:rPr>
          <w:lang w:eastAsia="ar-SA"/>
        </w:rPr>
        <w:t>.</w:t>
      </w:r>
    </w:p>
    <w:p w:rsidR="00604CB7" w:rsidRPr="00604CB7" w:rsidRDefault="00604CB7" w:rsidP="00604CB7">
      <w:pPr>
        <w:rPr>
          <w:lang w:eastAsia="ar-SA"/>
        </w:rPr>
      </w:pPr>
      <w:r w:rsidRPr="00604CB7">
        <w:rPr>
          <w:lang w:eastAsia="ar-SA"/>
        </w:rPr>
        <w:t xml:space="preserve">Au-delà de ces choix de design </w:t>
      </w:r>
      <w:proofErr w:type="spellStart"/>
      <w:r w:rsidRPr="00604CB7">
        <w:rPr>
          <w:lang w:eastAsia="ar-SA"/>
        </w:rPr>
        <w:t>expographique</w:t>
      </w:r>
      <w:proofErr w:type="spellEnd"/>
      <w:r w:rsidRPr="00604CB7">
        <w:rPr>
          <w:lang w:eastAsia="ar-SA"/>
        </w:rPr>
        <w:t xml:space="preserve">, la scénographie reste en définitive marquée par les signatures stylistiques propres aux trois musées, qui impriment leur marque distinctive. On peut l’observer dans la comparaison du traitement scénographique des </w:t>
      </w:r>
      <w:proofErr w:type="spellStart"/>
      <w:r w:rsidRPr="00604CB7">
        <w:rPr>
          <w:i/>
          <w:lang w:eastAsia="ar-SA"/>
        </w:rPr>
        <w:t>poupou</w:t>
      </w:r>
      <w:proofErr w:type="spellEnd"/>
      <w:r w:rsidRPr="00604CB7">
        <w:rPr>
          <w:lang w:eastAsia="ar-SA"/>
        </w:rPr>
        <w:t xml:space="preserve">, panneaux sculptés encadrant les entrées de maisons de réunion. Dans la section de l’exposition à Wellington, les </w:t>
      </w:r>
      <w:proofErr w:type="spellStart"/>
      <w:r w:rsidRPr="00604CB7">
        <w:rPr>
          <w:i/>
          <w:lang w:eastAsia="ar-SA"/>
        </w:rPr>
        <w:t>poupou</w:t>
      </w:r>
      <w:proofErr w:type="spellEnd"/>
      <w:r w:rsidRPr="00604CB7">
        <w:rPr>
          <w:lang w:eastAsia="ar-SA"/>
        </w:rPr>
        <w:t xml:space="preserve"> font face à la maison de réunion, et s’alignent devant une cloison coupée à mi-hauteur, où ils sont simplement alignés sur un socle. Sur la cloison perpendiculaire, des photos des </w:t>
      </w:r>
      <w:r w:rsidRPr="00604CB7">
        <w:rPr>
          <w:i/>
          <w:lang w:eastAsia="ar-SA"/>
        </w:rPr>
        <w:t>marae</w:t>
      </w:r>
      <w:r w:rsidRPr="00604CB7">
        <w:rPr>
          <w:lang w:eastAsia="ar-SA"/>
        </w:rPr>
        <w:t xml:space="preserve"> ; et dans la continuité du couloir qui se forme, la section dédiée au </w:t>
      </w:r>
      <w:r w:rsidRPr="00604CB7">
        <w:rPr>
          <w:i/>
          <w:lang w:eastAsia="ar-SA"/>
        </w:rPr>
        <w:t>Ta moko</w:t>
      </w:r>
      <w:r w:rsidRPr="00604CB7">
        <w:rPr>
          <w:lang w:eastAsia="ar-SA"/>
        </w:rPr>
        <w:t xml:space="preserve"> : par cette disposition, les </w:t>
      </w:r>
      <w:proofErr w:type="spellStart"/>
      <w:r w:rsidRPr="00604CB7">
        <w:rPr>
          <w:i/>
          <w:lang w:eastAsia="ar-SA"/>
        </w:rPr>
        <w:t>poupou</w:t>
      </w:r>
      <w:proofErr w:type="spellEnd"/>
      <w:r w:rsidRPr="00604CB7">
        <w:rPr>
          <w:lang w:eastAsia="ar-SA"/>
        </w:rPr>
        <w:t xml:space="preserve"> prennent la signification d’éléments d’architecture, typique, fortement porteurs de significations symboliques (généalogiques, culturelles, mythiques…), mais appartenant néanmoins à l’ordre </w:t>
      </w:r>
      <w:commentRangeStart w:id="39"/>
      <w:r w:rsidRPr="00604CB7">
        <w:rPr>
          <w:lang w:eastAsia="ar-SA"/>
        </w:rPr>
        <w:t>domestique</w:t>
      </w:r>
      <w:commentRangeEnd w:id="39"/>
      <w:r w:rsidRPr="00604CB7">
        <w:rPr>
          <w:rFonts w:cs="Times New Roman"/>
          <w:lang w:eastAsia="fr-FR"/>
        </w:rPr>
        <w:commentReference w:id="39"/>
      </w:r>
      <w:r w:rsidRPr="00604CB7">
        <w:rPr>
          <w:lang w:eastAsia="ar-SA"/>
        </w:rPr>
        <w:t xml:space="preserve"> du </w:t>
      </w:r>
      <w:proofErr w:type="gramStart"/>
      <w:r w:rsidRPr="00604CB7">
        <w:rPr>
          <w:lang w:eastAsia="ar-SA"/>
        </w:rPr>
        <w:t>proche ,</w:t>
      </w:r>
      <w:proofErr w:type="gramEnd"/>
      <w:r w:rsidRPr="00604CB7">
        <w:rPr>
          <w:lang w:eastAsia="ar-SA"/>
        </w:rPr>
        <w:t xml:space="preserve"> du quotidien, de l’habiter. Comme d’autres dimensions de la vie quotidienne proche (la course de canot, le tatouage), ces objets témoins illustrent l’intégration des valeurs spirituelles portées par les </w:t>
      </w:r>
      <w:proofErr w:type="spellStart"/>
      <w:r w:rsidRPr="00604CB7">
        <w:rPr>
          <w:i/>
          <w:lang w:eastAsia="ar-SA"/>
        </w:rPr>
        <w:t>taonga</w:t>
      </w:r>
      <w:proofErr w:type="spellEnd"/>
      <w:r w:rsidRPr="00604CB7">
        <w:rPr>
          <w:lang w:eastAsia="ar-SA"/>
        </w:rPr>
        <w:t xml:space="preserve"> dans le quotidien des </w:t>
      </w:r>
      <w:proofErr w:type="spellStart"/>
      <w:r w:rsidRPr="00604CB7">
        <w:rPr>
          <w:lang w:eastAsia="ar-SA"/>
        </w:rPr>
        <w:t>Māori</w:t>
      </w:r>
      <w:proofErr w:type="spellEnd"/>
      <w:r w:rsidRPr="00604CB7">
        <w:rPr>
          <w:lang w:eastAsia="ar-SA"/>
        </w:rPr>
        <w:t xml:space="preserve">. A Paris, les </w:t>
      </w:r>
      <w:proofErr w:type="spellStart"/>
      <w:r w:rsidRPr="00604CB7">
        <w:rPr>
          <w:i/>
          <w:lang w:eastAsia="ar-SA"/>
        </w:rPr>
        <w:t>poupou</w:t>
      </w:r>
      <w:proofErr w:type="spellEnd"/>
      <w:r w:rsidRPr="00604CB7">
        <w:rPr>
          <w:lang w:eastAsia="ar-SA"/>
        </w:rPr>
        <w:t xml:space="preserve"> sont également présentés sur un socle blanc dans un alignement sobre ; ils sont cependant placés devant des colonnes qui montent jusqu’au plafond et sont éclairés par des lampes placées au sol. L’éclairage en contreplongée souligne les détails gravés et accentue la force expressive des panneaux : c’est là un traitement plus formel, commun à celui qui est mis à l’œuvre notamment sur le plateau des collections. A Québec, l’obscurité prononcé de l’environnement, un jeu d’éclairage centré sur les œuvres et la neutralisation des fonds par l’emploi des couleurs sombres, qui </w:t>
      </w:r>
      <w:proofErr w:type="gramStart"/>
      <w:r w:rsidRPr="00604CB7">
        <w:rPr>
          <w:lang w:eastAsia="ar-SA"/>
        </w:rPr>
        <w:t>tend</w:t>
      </w:r>
      <w:proofErr w:type="gramEnd"/>
      <w:r w:rsidRPr="00604CB7">
        <w:rPr>
          <w:lang w:eastAsia="ar-SA"/>
        </w:rPr>
        <w:t xml:space="preserve"> à faire disparaître les contours du lieu d’installation, donnent aux spectateur une sensation d’objets flottants. Cet aménagement fait des </w:t>
      </w:r>
      <w:proofErr w:type="spellStart"/>
      <w:r w:rsidRPr="00604CB7">
        <w:rPr>
          <w:i/>
          <w:lang w:eastAsia="ar-SA"/>
        </w:rPr>
        <w:t>poupou</w:t>
      </w:r>
      <w:proofErr w:type="spellEnd"/>
      <w:r w:rsidRPr="00604CB7">
        <w:rPr>
          <w:lang w:eastAsia="ar-SA"/>
        </w:rPr>
        <w:t xml:space="preserve"> des œuvres expressives singulières d’une culture ; il révèle, les forces à l’œuvre dans les objets, forces reconnues comme significatives de la culture du peuple ainsi évoqué, à l’image de ce que l’on peut voir dans les diverses expositions produites par le musée. Des </w:t>
      </w:r>
      <w:proofErr w:type="spellStart"/>
      <w:r w:rsidRPr="00604CB7">
        <w:rPr>
          <w:lang w:eastAsia="ar-SA"/>
        </w:rPr>
        <w:t>oeuvres</w:t>
      </w:r>
      <w:proofErr w:type="spellEnd"/>
      <w:r w:rsidRPr="00604CB7">
        <w:rPr>
          <w:lang w:eastAsia="ar-SA"/>
        </w:rPr>
        <w:t xml:space="preserve"> semblables prennent ainsi par le traitement scénographique et le design des espaces une inscription différente dans le dispositif actant : les positions des visiteurs  (les usages idéaux inscrits </w:t>
      </w:r>
      <w:r w:rsidRPr="00604CB7">
        <w:rPr>
          <w:lang w:eastAsia="ar-SA"/>
        </w:rPr>
        <w:lastRenderedPageBreak/>
        <w:t>dans le dispositif pour les visiteurs, sont différents, et l’on peut donc s’attendre à ce que les usages (réels) le soient également.</w:t>
      </w:r>
    </w:p>
    <w:p w:rsidR="00604CB7" w:rsidRPr="00604CB7" w:rsidRDefault="00604CB7" w:rsidP="00604CB7">
      <w:pPr>
        <w:keepNext/>
        <w:keepLines/>
        <w:spacing w:before="200" w:after="0"/>
        <w:outlineLvl w:val="2"/>
        <w:rPr>
          <w:rFonts w:asciiTheme="majorHAnsi" w:eastAsia="Times New Roman" w:hAnsiTheme="majorHAnsi" w:cstheme="majorBidi"/>
          <w:b/>
          <w:bCs/>
          <w:color w:val="4F81BD" w:themeColor="accent1"/>
          <w:lang w:eastAsia="ar-SA"/>
        </w:rPr>
      </w:pPr>
      <w:bookmarkStart w:id="40" w:name="_Toc385923157"/>
      <w:bookmarkStart w:id="41" w:name="_Toc385923201"/>
      <w:r w:rsidRPr="00604CB7">
        <w:rPr>
          <w:rFonts w:asciiTheme="majorHAnsi" w:eastAsia="Times New Roman" w:hAnsiTheme="majorHAnsi" w:cstheme="majorBidi"/>
          <w:b/>
          <w:bCs/>
          <w:color w:val="4F81BD" w:themeColor="accent1"/>
          <w:lang w:eastAsia="ar-SA"/>
        </w:rPr>
        <w:t>Conclusion : La validation de l’exposition par un usage double de la notion d’art</w:t>
      </w:r>
      <w:bookmarkEnd w:id="40"/>
      <w:bookmarkEnd w:id="41"/>
    </w:p>
    <w:p w:rsidR="00604CB7" w:rsidRPr="00604CB7" w:rsidRDefault="00604CB7" w:rsidP="00604CB7">
      <w:pPr>
        <w:rPr>
          <w:lang w:eastAsia="ar-SA"/>
        </w:rPr>
      </w:pPr>
      <w:r w:rsidRPr="00604CB7">
        <w:rPr>
          <w:lang w:eastAsia="ar-SA"/>
        </w:rPr>
        <w:t xml:space="preserve">L’exposition joue sur le croisement des regards extérieur et intérieur (à la culture Maori) sur la notion d’art, pour s’assurer une validation à la fois extérieure et intérieure. S’observe, par le biais de la circulation dans des grands musées, le mécanisme « classique » de l’entrée en art comme légitimation culturelle, ici à deux niveaux, qui se retrouvent tous deux au musée : la scène internationale de l’art contemporain et la sphère patrimoniale articulée à une rhétorique de l’universel. S’observe également une appropriation, par les concepteurs de l’exposition, de la polysémie de la catégorie d’art, avec différents registres, de l’ornementation à la transcendance, de la tradition à la créativité… Avec une convergence vers l’idée d’art « vivant » : techniques et formes anciennes mais encore en usage, continuité symbolique assurée, objets animés, voire actifs (contrairement aux objets de musée en général), objets politiques, avec une force de signification et d’affirmation…Que ce soit dans le choix des objets, leur mise en scène ou les </w:t>
      </w:r>
      <w:proofErr w:type="spellStart"/>
      <w:r w:rsidRPr="00604CB7">
        <w:rPr>
          <w:lang w:eastAsia="ar-SA"/>
        </w:rPr>
        <w:t>méta-discours</w:t>
      </w:r>
      <w:proofErr w:type="spellEnd"/>
      <w:r w:rsidRPr="00604CB7">
        <w:rPr>
          <w:lang w:eastAsia="ar-SA"/>
        </w:rPr>
        <w:t xml:space="preserve"> institutionnels portés par les musées qui accueillent l’exposition, se révèle une volonté consciente de mobiliser la notion d’art pour porter le message politique. Reste à examiner à présent les façons dont ce message est compris et reçu par les visiteurs, dans les différents contextes d’exposition. Mais ceci est une autre histoire…</w:t>
      </w:r>
    </w:p>
    <w:p w:rsidR="00792DC5" w:rsidRDefault="00792DC5" w:rsidP="00A00BAA">
      <w:pPr>
        <w:rPr>
          <w:lang w:eastAsia="ar-SA"/>
        </w:rPr>
      </w:pPr>
    </w:p>
    <w:p w:rsidR="00FD4DCE" w:rsidRDefault="006C63AC" w:rsidP="006C63AC">
      <w:pPr>
        <w:pStyle w:val="Titre2"/>
      </w:pPr>
      <w:bookmarkStart w:id="42" w:name="_Toc385923202"/>
      <w:r>
        <w:t>2</w:t>
      </w:r>
      <w:r w:rsidR="00FD4DCE">
        <w:t xml:space="preserve">. </w:t>
      </w:r>
      <w:r w:rsidR="001E67F7">
        <w:t>PRATIQUES PROFESSIONNELLES</w:t>
      </w:r>
      <w:bookmarkEnd w:id="42"/>
    </w:p>
    <w:p w:rsidR="00FD4DCE" w:rsidRDefault="006C63AC" w:rsidP="006C63AC">
      <w:pPr>
        <w:pStyle w:val="Titre3"/>
      </w:pPr>
      <w:bookmarkStart w:id="43" w:name="_Toc385923203"/>
      <w:r>
        <w:t>2</w:t>
      </w:r>
      <w:r w:rsidR="001E67F7">
        <w:t>1. Les relations professionnelles</w:t>
      </w:r>
      <w:bookmarkEnd w:id="43"/>
    </w:p>
    <w:p w:rsidR="00604CB7" w:rsidRDefault="00604CB7" w:rsidP="00A00BAA">
      <w:r>
        <w:rPr>
          <w:b/>
        </w:rPr>
        <w:t>Rapport de recherche</w:t>
      </w:r>
      <w:r w:rsidR="00E435E3" w:rsidRPr="00E435E3">
        <w:rPr>
          <w:b/>
        </w:rPr>
        <w:t> :</w:t>
      </w:r>
      <w:r w:rsidR="00E435E3">
        <w:t xml:space="preserve"> </w:t>
      </w:r>
      <w:r w:rsidRPr="00604CB7">
        <w:rPr>
          <w:lang w:eastAsia="fr-FR"/>
        </w:rPr>
        <w:t>CRENN, Gaëlle, Analyse des pratiques professionnelles concernant la muséographie (curation, conservation, scénographie</w:t>
      </w:r>
      <w:proofErr w:type="gramStart"/>
      <w:r w:rsidRPr="00604CB7">
        <w:rPr>
          <w:lang w:eastAsia="fr-FR"/>
        </w:rPr>
        <w:t xml:space="preserve">) </w:t>
      </w:r>
      <w:r>
        <w:t>,</w:t>
      </w:r>
      <w:proofErr w:type="gramEnd"/>
      <w:r>
        <w:t xml:space="preserve"> 20 p.</w:t>
      </w:r>
    </w:p>
    <w:p w:rsidR="00981065" w:rsidRPr="00981065" w:rsidRDefault="00981065" w:rsidP="00A00BAA">
      <w:pPr>
        <w:rPr>
          <w:rStyle w:val="Rfrenceintense"/>
        </w:rPr>
      </w:pPr>
      <w:r>
        <w:rPr>
          <w:rStyle w:val="Rfrenceintense"/>
        </w:rPr>
        <w:t>ANNEXE 2</w:t>
      </w:r>
    </w:p>
    <w:p w:rsidR="001E67F7" w:rsidRDefault="001E67F7" w:rsidP="006C63AC">
      <w:pPr>
        <w:pStyle w:val="Titre3"/>
      </w:pPr>
      <w:bookmarkStart w:id="44" w:name="_Toc385923204"/>
      <w:r>
        <w:t>2</w:t>
      </w:r>
      <w:r w:rsidR="006C63AC">
        <w:t>2</w:t>
      </w:r>
      <w:r>
        <w:t xml:space="preserve">. Les pratiques professionnels et </w:t>
      </w:r>
      <w:r w:rsidR="009A648E">
        <w:t xml:space="preserve">le </w:t>
      </w:r>
      <w:r>
        <w:t>dialogue interculturel</w:t>
      </w:r>
      <w:bookmarkEnd w:id="44"/>
    </w:p>
    <w:p w:rsidR="007935E1" w:rsidRPr="009A648E" w:rsidRDefault="00E435E3" w:rsidP="009A648E">
      <w:pPr>
        <w:rPr>
          <w:color w:val="FF0000"/>
        </w:rPr>
      </w:pPr>
      <w:r w:rsidRPr="00E435E3">
        <w:rPr>
          <w:b/>
        </w:rPr>
        <w:t>Article :</w:t>
      </w:r>
      <w:r>
        <w:t xml:space="preserve"> </w:t>
      </w:r>
      <w:r w:rsidR="00803778">
        <w:t xml:space="preserve">Gagné, Natacha, Roustan, Mélanie, « Accompagner les </w:t>
      </w:r>
      <w:proofErr w:type="spellStart"/>
      <w:r w:rsidR="00803778" w:rsidRPr="00792DC5">
        <w:rPr>
          <w:i/>
        </w:rPr>
        <w:t>taonga</w:t>
      </w:r>
      <w:proofErr w:type="spellEnd"/>
      <w:r w:rsidR="00803778">
        <w:t xml:space="preserve"> à travers le monde : une exposition </w:t>
      </w:r>
      <w:proofErr w:type="spellStart"/>
      <w:r w:rsidR="00803778">
        <w:t>māori</w:t>
      </w:r>
      <w:proofErr w:type="spellEnd"/>
      <w:r w:rsidR="00803778">
        <w:t xml:space="preserve"> à Paris et à Québec », Note de recherche, </w:t>
      </w:r>
      <w:r w:rsidR="00803778" w:rsidRPr="004D00AE">
        <w:rPr>
          <w:i/>
        </w:rPr>
        <w:t>Anthropologie et Société</w:t>
      </w:r>
      <w:r w:rsidR="00803778" w:rsidRPr="00803778">
        <w:rPr>
          <w:color w:val="FF0000"/>
        </w:rPr>
        <w:t xml:space="preserve">, </w:t>
      </w:r>
      <w:r w:rsidR="004D00AE">
        <w:rPr>
          <w:color w:val="FF0000"/>
        </w:rPr>
        <w:t xml:space="preserve">à paraître en 2014, </w:t>
      </w:r>
      <w:r w:rsidR="00803778" w:rsidRPr="00803778">
        <w:rPr>
          <w:color w:val="FF0000"/>
        </w:rPr>
        <w:t>en évaluation</w:t>
      </w:r>
      <w:r w:rsidR="004D00AE">
        <w:rPr>
          <w:color w:val="FF0000"/>
        </w:rPr>
        <w:t>.</w:t>
      </w:r>
    </w:p>
    <w:p w:rsidR="007935E1" w:rsidRPr="00792DC5" w:rsidRDefault="007935E1" w:rsidP="00A00BAA">
      <w:pPr>
        <w:rPr>
          <w:rFonts w:asciiTheme="minorHAnsi" w:hAnsiTheme="minorHAnsi"/>
          <w:lang w:eastAsia="ar-SA"/>
        </w:rPr>
      </w:pPr>
      <w:r w:rsidRPr="00792DC5">
        <w:rPr>
          <w:rFonts w:asciiTheme="minorHAnsi" w:hAnsiTheme="minorHAnsi"/>
          <w:b/>
          <w:lang w:eastAsia="ar-SA"/>
        </w:rPr>
        <w:t xml:space="preserve">Résumé : </w:t>
      </w:r>
      <w:r w:rsidRPr="00792DC5">
        <w:rPr>
          <w:rFonts w:asciiTheme="minorHAnsi" w:hAnsiTheme="minorHAnsi"/>
          <w:lang w:eastAsia="ar-SA"/>
        </w:rPr>
        <w:t xml:space="preserve">L’exposition </w:t>
      </w:r>
      <w:r w:rsidRPr="00792DC5">
        <w:rPr>
          <w:rFonts w:asciiTheme="minorHAnsi" w:hAnsiTheme="minorHAnsi"/>
          <w:i/>
          <w:lang w:eastAsia="ar-SA"/>
        </w:rPr>
        <w:t xml:space="preserve">E </w:t>
      </w:r>
      <w:proofErr w:type="spellStart"/>
      <w:r w:rsidRPr="00792DC5">
        <w:rPr>
          <w:rFonts w:asciiTheme="minorHAnsi" w:hAnsiTheme="minorHAnsi"/>
          <w:i/>
          <w:lang w:eastAsia="ar-SA"/>
        </w:rPr>
        <w:t>Tū</w:t>
      </w:r>
      <w:proofErr w:type="spellEnd"/>
      <w:r w:rsidRPr="00792DC5">
        <w:rPr>
          <w:rFonts w:asciiTheme="minorHAnsi" w:hAnsiTheme="minorHAnsi"/>
          <w:i/>
          <w:lang w:eastAsia="ar-SA"/>
        </w:rPr>
        <w:t xml:space="preserve"> </w:t>
      </w:r>
      <w:proofErr w:type="spellStart"/>
      <w:r w:rsidRPr="00792DC5">
        <w:rPr>
          <w:rFonts w:asciiTheme="minorHAnsi" w:hAnsiTheme="minorHAnsi"/>
          <w:i/>
          <w:lang w:eastAsia="ar-SA"/>
        </w:rPr>
        <w:t>Ake</w:t>
      </w:r>
      <w:proofErr w:type="spellEnd"/>
      <w:r w:rsidRPr="00792DC5">
        <w:rPr>
          <w:rFonts w:asciiTheme="minorHAnsi" w:hAnsiTheme="minorHAnsi"/>
          <w:i/>
          <w:lang w:eastAsia="ar-SA"/>
        </w:rPr>
        <w:t xml:space="preserve">: Standing </w:t>
      </w:r>
      <w:proofErr w:type="spellStart"/>
      <w:r w:rsidRPr="00792DC5">
        <w:rPr>
          <w:rFonts w:asciiTheme="minorHAnsi" w:hAnsiTheme="minorHAnsi"/>
          <w:i/>
          <w:lang w:eastAsia="ar-SA"/>
        </w:rPr>
        <w:t>Strong</w:t>
      </w:r>
      <w:proofErr w:type="spellEnd"/>
      <w:r w:rsidRPr="00792DC5">
        <w:rPr>
          <w:rFonts w:asciiTheme="minorHAnsi" w:hAnsiTheme="minorHAnsi"/>
          <w:lang w:eastAsia="ar-SA"/>
        </w:rPr>
        <w:t xml:space="preserve"> (M</w:t>
      </w:r>
      <w:r w:rsidRPr="00792DC5">
        <w:rPr>
          <w:rFonts w:asciiTheme="minorHAnsi" w:hAnsiTheme="minorHAnsi"/>
          <w:lang w:val="fr-CA" w:eastAsia="ar-SA"/>
        </w:rPr>
        <w:t>ā</w:t>
      </w:r>
      <w:proofErr w:type="spellStart"/>
      <w:r w:rsidRPr="00792DC5">
        <w:rPr>
          <w:rFonts w:asciiTheme="minorHAnsi" w:hAnsiTheme="minorHAnsi"/>
          <w:lang w:eastAsia="ar-SA"/>
        </w:rPr>
        <w:t>ori</w:t>
      </w:r>
      <w:proofErr w:type="spellEnd"/>
      <w:r w:rsidRPr="00792DC5">
        <w:rPr>
          <w:rFonts w:asciiTheme="minorHAnsi" w:hAnsiTheme="minorHAnsi"/>
          <w:lang w:eastAsia="ar-SA"/>
        </w:rPr>
        <w:t xml:space="preserve"> debout) conçue par le musée national de la Nouvelle-Zélande, le</w:t>
      </w:r>
      <w:r w:rsidRPr="00792DC5">
        <w:rPr>
          <w:rFonts w:asciiTheme="minorHAnsi" w:hAnsiTheme="minorHAnsi"/>
          <w:bCs/>
          <w:lang w:eastAsia="ar-SA"/>
        </w:rPr>
        <w:t xml:space="preserve"> Museum of New </w:t>
      </w:r>
      <w:proofErr w:type="spellStart"/>
      <w:r w:rsidRPr="00792DC5">
        <w:rPr>
          <w:rFonts w:asciiTheme="minorHAnsi" w:hAnsiTheme="minorHAnsi"/>
          <w:bCs/>
          <w:lang w:eastAsia="ar-SA"/>
        </w:rPr>
        <w:t>Zealand</w:t>
      </w:r>
      <w:proofErr w:type="spellEnd"/>
      <w:r w:rsidRPr="00792DC5">
        <w:rPr>
          <w:rFonts w:asciiTheme="minorHAnsi" w:hAnsiTheme="minorHAnsi"/>
          <w:bCs/>
          <w:lang w:eastAsia="ar-SA"/>
        </w:rPr>
        <w:t xml:space="preserve"> Te Papa </w:t>
      </w:r>
      <w:proofErr w:type="spellStart"/>
      <w:r w:rsidRPr="00792DC5">
        <w:rPr>
          <w:rFonts w:asciiTheme="minorHAnsi" w:hAnsiTheme="minorHAnsi"/>
          <w:bCs/>
          <w:lang w:eastAsia="ar-SA"/>
        </w:rPr>
        <w:t>Tongarewa</w:t>
      </w:r>
      <w:proofErr w:type="spellEnd"/>
      <w:r w:rsidRPr="00792DC5">
        <w:rPr>
          <w:rFonts w:asciiTheme="minorHAnsi" w:hAnsiTheme="minorHAnsi"/>
          <w:lang w:eastAsia="ar-SA"/>
        </w:rPr>
        <w:t xml:space="preserve">, fut présentée en 2011-2012 au musée du quai Branly, à Paris, et en 2012-2013 au musée de la Civilisation, à Québec. Sont discutés ici les résultats préliminaires d’une recherche comparative portant sur la conception et la réception de cette exposition itinérante : ses permanences et transformations au sein des différentes institutions, la volonté des </w:t>
      </w:r>
      <w:proofErr w:type="spellStart"/>
      <w:r w:rsidRPr="00792DC5">
        <w:rPr>
          <w:rFonts w:asciiTheme="minorHAnsi" w:hAnsiTheme="minorHAnsi"/>
          <w:lang w:eastAsia="ar-SA"/>
        </w:rPr>
        <w:t>Māori</w:t>
      </w:r>
      <w:proofErr w:type="spellEnd"/>
      <w:r w:rsidRPr="00792DC5">
        <w:rPr>
          <w:rFonts w:asciiTheme="minorHAnsi" w:hAnsiTheme="minorHAnsi"/>
          <w:lang w:eastAsia="ar-SA"/>
        </w:rPr>
        <w:t xml:space="preserve"> de maintenir la dimension rituelle des objets, les conséquences en termes de pratiques professionnelles et de dialogue interculturel. Il s’agit de réfléchir à l’exposition comme une « vue de l’autre », au double sens d’un regard porté </w:t>
      </w:r>
      <w:r w:rsidRPr="00792DC5">
        <w:rPr>
          <w:rFonts w:asciiTheme="minorHAnsi" w:hAnsiTheme="minorHAnsi"/>
          <w:i/>
          <w:lang w:eastAsia="ar-SA"/>
        </w:rPr>
        <w:t>par</w:t>
      </w:r>
      <w:r w:rsidRPr="00792DC5">
        <w:rPr>
          <w:rFonts w:asciiTheme="minorHAnsi" w:hAnsiTheme="minorHAnsi"/>
          <w:lang w:eastAsia="ar-SA"/>
        </w:rPr>
        <w:t xml:space="preserve"> les </w:t>
      </w:r>
      <w:proofErr w:type="spellStart"/>
      <w:r w:rsidRPr="00792DC5">
        <w:rPr>
          <w:rFonts w:asciiTheme="minorHAnsi" w:hAnsiTheme="minorHAnsi"/>
          <w:lang w:eastAsia="ar-SA"/>
        </w:rPr>
        <w:t>Māori</w:t>
      </w:r>
      <w:proofErr w:type="spellEnd"/>
      <w:r w:rsidRPr="00792DC5">
        <w:rPr>
          <w:rFonts w:asciiTheme="minorHAnsi" w:hAnsiTheme="minorHAnsi"/>
          <w:lang w:eastAsia="ar-SA"/>
        </w:rPr>
        <w:t xml:space="preserve"> sur eux-mêmes et leurs objets, et d’un regard porté </w:t>
      </w:r>
      <w:r w:rsidRPr="00792DC5">
        <w:rPr>
          <w:rFonts w:asciiTheme="minorHAnsi" w:hAnsiTheme="minorHAnsi"/>
          <w:i/>
          <w:lang w:eastAsia="ar-SA"/>
        </w:rPr>
        <w:t>sur</w:t>
      </w:r>
      <w:r w:rsidRPr="00792DC5">
        <w:rPr>
          <w:rFonts w:asciiTheme="minorHAnsi" w:hAnsiTheme="minorHAnsi"/>
          <w:lang w:eastAsia="ar-SA"/>
        </w:rPr>
        <w:t xml:space="preserve"> eux à travers leurs objets. Le croisement de ces regards permet de saisir l’exposition comme créatrice d’un espace de réflexion sur soi et sur le rapport à l’altérité, que ce soit au niveau des équipes des musées ou de leurs visiteurs. Ces questionnements eurent des </w:t>
      </w:r>
      <w:r w:rsidRPr="00792DC5">
        <w:rPr>
          <w:rFonts w:asciiTheme="minorHAnsi" w:hAnsiTheme="minorHAnsi"/>
          <w:lang w:eastAsia="ar-SA"/>
        </w:rPr>
        <w:lastRenderedPageBreak/>
        <w:t>tonalités différentes en fonction des traditions muséales et nationales. Nous explorons ces processus en portant une attention particulière au traitement des objets et aux usages des corps.</w:t>
      </w:r>
    </w:p>
    <w:p w:rsidR="007935E1" w:rsidRPr="009A648E" w:rsidRDefault="00981065" w:rsidP="009A648E">
      <w:pPr>
        <w:suppressAutoHyphens/>
        <w:spacing w:after="0" w:line="240" w:lineRule="auto"/>
        <w:rPr>
          <w:b/>
          <w:bCs/>
          <w:smallCaps/>
          <w:color w:val="C0504D" w:themeColor="accent2"/>
          <w:spacing w:val="5"/>
          <w:u w:val="single"/>
        </w:rPr>
      </w:pPr>
      <w:r>
        <w:rPr>
          <w:rStyle w:val="Rfrenceintense"/>
        </w:rPr>
        <w:t>ANNEXE 3</w:t>
      </w:r>
    </w:p>
    <w:p w:rsidR="004D00AE" w:rsidRDefault="006C63AC" w:rsidP="006C63AC">
      <w:pPr>
        <w:pStyle w:val="Titre2"/>
      </w:pPr>
      <w:bookmarkStart w:id="45" w:name="_Toc385923205"/>
      <w:r>
        <w:t>3</w:t>
      </w:r>
      <w:r w:rsidR="00E663FD">
        <w:t xml:space="preserve">. </w:t>
      </w:r>
      <w:r w:rsidR="001E67F7">
        <w:t>RECEPTION</w:t>
      </w:r>
      <w:bookmarkEnd w:id="45"/>
    </w:p>
    <w:p w:rsidR="009A648E" w:rsidRPr="009A648E" w:rsidRDefault="006C63AC" w:rsidP="006C63AC">
      <w:pPr>
        <w:pStyle w:val="Titre3"/>
      </w:pPr>
      <w:bookmarkStart w:id="46" w:name="_Toc385923206"/>
      <w:r>
        <w:t>3</w:t>
      </w:r>
      <w:r w:rsidR="009A648E">
        <w:t>1. La réception de l’exposition à Québec</w:t>
      </w:r>
      <w:bookmarkEnd w:id="46"/>
    </w:p>
    <w:p w:rsidR="00216268" w:rsidRDefault="0033099F" w:rsidP="00A00BAA">
      <w:pPr>
        <w:rPr>
          <w:lang w:val="fr-CA"/>
        </w:rPr>
      </w:pPr>
      <w:r>
        <w:rPr>
          <w:b/>
          <w:lang w:val="fr-CA"/>
        </w:rPr>
        <w:t>Rapport de recherche</w:t>
      </w:r>
      <w:r w:rsidR="00E435E3" w:rsidRPr="00E435E3">
        <w:rPr>
          <w:b/>
          <w:lang w:val="fr-CA"/>
        </w:rPr>
        <w:t> </w:t>
      </w:r>
      <w:r w:rsidR="00E435E3">
        <w:rPr>
          <w:lang w:val="fr-CA"/>
        </w:rPr>
        <w:t xml:space="preserve">: </w:t>
      </w:r>
      <w:r w:rsidR="00216268" w:rsidRPr="00216268">
        <w:rPr>
          <w:lang w:val="fr-CA"/>
        </w:rPr>
        <w:t>Desroches-</w:t>
      </w:r>
      <w:proofErr w:type="spellStart"/>
      <w:r w:rsidR="00216268" w:rsidRPr="00216268">
        <w:rPr>
          <w:lang w:val="fr-CA"/>
        </w:rPr>
        <w:t>maheux</w:t>
      </w:r>
      <w:proofErr w:type="spellEnd"/>
      <w:r w:rsidR="00216268">
        <w:rPr>
          <w:lang w:val="fr-CA"/>
        </w:rPr>
        <w:t xml:space="preserve">, </w:t>
      </w:r>
      <w:proofErr w:type="spellStart"/>
      <w:r w:rsidR="00216268">
        <w:rPr>
          <w:lang w:val="fr-CA"/>
        </w:rPr>
        <w:t>Eve</w:t>
      </w:r>
      <w:proofErr w:type="spellEnd"/>
      <w:r w:rsidR="00216268">
        <w:rPr>
          <w:lang w:val="fr-CA"/>
        </w:rPr>
        <w:t>,</w:t>
      </w:r>
      <w:r w:rsidR="00216268" w:rsidRPr="00216268">
        <w:rPr>
          <w:sz w:val="28"/>
          <w:szCs w:val="28"/>
          <w:lang w:val="fr-CA"/>
        </w:rPr>
        <w:t xml:space="preserve"> </w:t>
      </w:r>
      <w:r w:rsidR="00216268">
        <w:rPr>
          <w:sz w:val="28"/>
          <w:szCs w:val="28"/>
          <w:lang w:val="fr-CA"/>
        </w:rPr>
        <w:t>« </w:t>
      </w:r>
      <w:r w:rsidR="00216268" w:rsidRPr="00216268">
        <w:rPr>
          <w:lang w:val="fr-CA"/>
        </w:rPr>
        <w:t xml:space="preserve">Les résonnances de l’exposition </w:t>
      </w:r>
      <w:r w:rsidR="00216268" w:rsidRPr="00216268">
        <w:rPr>
          <w:i/>
          <w:lang w:val="fr-CA"/>
        </w:rPr>
        <w:t xml:space="preserve">E Tu </w:t>
      </w:r>
      <w:proofErr w:type="spellStart"/>
      <w:r w:rsidR="00216268" w:rsidRPr="00216268">
        <w:rPr>
          <w:i/>
          <w:lang w:val="fr-CA"/>
        </w:rPr>
        <w:t>ake</w:t>
      </w:r>
      <w:proofErr w:type="spellEnd"/>
      <w:r w:rsidR="00216268" w:rsidRPr="00216268">
        <w:rPr>
          <w:i/>
          <w:lang w:val="fr-CA"/>
        </w:rPr>
        <w:t xml:space="preserve"> - Maori debout</w:t>
      </w:r>
      <w:r>
        <w:rPr>
          <w:lang w:val="fr-CA"/>
        </w:rPr>
        <w:t xml:space="preserve"> chez les visiteurs du M</w:t>
      </w:r>
      <w:r w:rsidR="00216268" w:rsidRPr="00216268">
        <w:rPr>
          <w:lang w:val="fr-CA"/>
        </w:rPr>
        <w:t>usée de la civilisation de Québec</w:t>
      </w:r>
      <w:r w:rsidR="00216268">
        <w:rPr>
          <w:lang w:val="fr-CA"/>
        </w:rPr>
        <w:t xml:space="preserve"> », </w:t>
      </w:r>
      <w:r>
        <w:rPr>
          <w:lang w:val="fr-CA"/>
        </w:rPr>
        <w:t>Rapport final, mai 2013, 34 p.</w:t>
      </w:r>
    </w:p>
    <w:p w:rsidR="0033099F" w:rsidRPr="0033099F" w:rsidRDefault="0033099F" w:rsidP="00A00BAA">
      <w:pPr>
        <w:rPr>
          <w:b/>
          <w:bCs/>
          <w:smallCaps/>
          <w:color w:val="C0504D" w:themeColor="accent2"/>
          <w:spacing w:val="5"/>
          <w:sz w:val="24"/>
          <w:szCs w:val="24"/>
          <w:u w:val="single"/>
        </w:rPr>
      </w:pPr>
      <w:r w:rsidRPr="0033099F">
        <w:rPr>
          <w:rStyle w:val="Rfrenceintense"/>
          <w:sz w:val="24"/>
          <w:szCs w:val="24"/>
        </w:rPr>
        <w:t>Annexe 4</w:t>
      </w:r>
    </w:p>
    <w:p w:rsidR="009A648E" w:rsidRDefault="006C63AC" w:rsidP="006C63AC">
      <w:pPr>
        <w:pStyle w:val="Titre3"/>
        <w:rPr>
          <w:lang w:val="fr-CA"/>
        </w:rPr>
      </w:pPr>
      <w:bookmarkStart w:id="47" w:name="_Toc385923207"/>
      <w:r>
        <w:rPr>
          <w:lang w:val="fr-CA"/>
        </w:rPr>
        <w:t>3</w:t>
      </w:r>
      <w:r w:rsidR="009A648E">
        <w:rPr>
          <w:lang w:val="fr-CA"/>
        </w:rPr>
        <w:t xml:space="preserve">2. </w:t>
      </w:r>
      <w:r w:rsidR="007A429B">
        <w:rPr>
          <w:lang w:val="fr-CA"/>
        </w:rPr>
        <w:t>La</w:t>
      </w:r>
      <w:r w:rsidR="0033099F">
        <w:rPr>
          <w:lang w:val="fr-CA"/>
        </w:rPr>
        <w:t xml:space="preserve"> réception de l’exposition à Paris</w:t>
      </w:r>
      <w:bookmarkEnd w:id="47"/>
    </w:p>
    <w:p w:rsidR="004D00AE" w:rsidRDefault="00981065" w:rsidP="00A00BAA">
      <w:pPr>
        <w:rPr>
          <w:lang w:val="fr-CA"/>
        </w:rPr>
      </w:pPr>
      <w:r w:rsidRPr="0033099F">
        <w:rPr>
          <w:b/>
          <w:lang w:val="fr-CA"/>
        </w:rPr>
        <w:t>Rappor</w:t>
      </w:r>
      <w:r w:rsidR="00E435E3" w:rsidRPr="0033099F">
        <w:rPr>
          <w:b/>
          <w:lang w:val="fr-CA"/>
        </w:rPr>
        <w:t>t de recherche :</w:t>
      </w:r>
      <w:r w:rsidR="00E435E3" w:rsidRPr="0033099F">
        <w:rPr>
          <w:lang w:val="fr-CA"/>
        </w:rPr>
        <w:t xml:space="preserve"> </w:t>
      </w:r>
      <w:proofErr w:type="spellStart"/>
      <w:r w:rsidR="0033099F">
        <w:rPr>
          <w:lang w:val="fr-CA"/>
        </w:rPr>
        <w:t>Roupnel</w:t>
      </w:r>
      <w:proofErr w:type="spellEnd"/>
      <w:r w:rsidR="0033099F">
        <w:rPr>
          <w:lang w:val="fr-CA"/>
        </w:rPr>
        <w:t xml:space="preserve">, </w:t>
      </w:r>
      <w:r w:rsidR="00E435E3" w:rsidRPr="0033099F">
        <w:rPr>
          <w:lang w:val="fr-CA"/>
        </w:rPr>
        <w:t>Servane,</w:t>
      </w:r>
      <w:r w:rsidR="0033099F">
        <w:rPr>
          <w:lang w:val="fr-CA"/>
        </w:rPr>
        <w:t xml:space="preserve"> « L’exposition Maori : leurs trésors ont une âme : réception muséale auprès des visiteurs du Musée du quai Branly », Rapport final, décembre 2013, 53 p.</w:t>
      </w:r>
    </w:p>
    <w:p w:rsidR="0033099F" w:rsidRPr="0033099F" w:rsidRDefault="0033099F" w:rsidP="00A00BAA">
      <w:pPr>
        <w:rPr>
          <w:rStyle w:val="Rfrenceintense"/>
        </w:rPr>
      </w:pPr>
      <w:r w:rsidRPr="0033099F">
        <w:rPr>
          <w:rStyle w:val="Rfrenceintense"/>
        </w:rPr>
        <w:t>ANNEXE 5</w:t>
      </w:r>
    </w:p>
    <w:p w:rsidR="001E67F7" w:rsidRDefault="001E67F7" w:rsidP="00A00BAA">
      <w:pPr>
        <w:pStyle w:val="Titre1"/>
      </w:pPr>
      <w:bookmarkStart w:id="48" w:name="_Toc385923208"/>
      <w:r>
        <w:t>CONCLUSION</w:t>
      </w:r>
      <w:bookmarkEnd w:id="48"/>
    </w:p>
    <w:p w:rsidR="00FD4DCE" w:rsidRDefault="004D00AE" w:rsidP="009A648E">
      <w:pPr>
        <w:pStyle w:val="Titre2"/>
      </w:pPr>
      <w:bookmarkStart w:id="49" w:name="_Toc385923209"/>
      <w:r>
        <w:t>1. Perspectives</w:t>
      </w:r>
      <w:bookmarkEnd w:id="49"/>
    </w:p>
    <w:p w:rsidR="00E663FD" w:rsidRDefault="00FD4DCE" w:rsidP="00A00BAA">
      <w:pPr>
        <w:pStyle w:val="Titre3"/>
      </w:pPr>
      <w:bookmarkStart w:id="50" w:name="_Toc385923210"/>
      <w:r>
        <w:t>1</w:t>
      </w:r>
      <w:r w:rsidR="009A648E">
        <w:t>1</w:t>
      </w:r>
      <w:r w:rsidR="00E663FD">
        <w:t xml:space="preserve">. </w:t>
      </w:r>
      <w:r>
        <w:t xml:space="preserve">Interculturalité et </w:t>
      </w:r>
      <w:r w:rsidR="009A648E">
        <w:t>professionnalisation</w:t>
      </w:r>
      <w:bookmarkEnd w:id="50"/>
    </w:p>
    <w:p w:rsidR="00D16704" w:rsidRDefault="009A648E" w:rsidP="00A00BAA">
      <w:r>
        <w:t xml:space="preserve">La recherche </w:t>
      </w:r>
      <w:r w:rsidR="00D16704" w:rsidRPr="00D16704">
        <w:t xml:space="preserve">invite </w:t>
      </w:r>
      <w:r>
        <w:t>à poursuivre</w:t>
      </w:r>
      <w:r w:rsidR="00D16704" w:rsidRPr="00D16704">
        <w:t xml:space="preserve"> l’évolution des métiers du musée, dont la professionnalisation intègre de façon croissante une pluralité de vues et d’actions sur l’objet matériel, qu’elles soient techniques, scientifiques, esthétiques ou ici religieuses. Le modèle occidental du musée et les normes internationales régissant le maniement des œuvres ne sont pas mis en cause, mais s’adjoignent à ces pratiques de préservation matérielle des objets des usages visant à l’entretien de leurs caractères immatériels. </w:t>
      </w:r>
    </w:p>
    <w:p w:rsidR="00FD4DCE" w:rsidRDefault="00E435E3" w:rsidP="00A00BAA">
      <w:r>
        <w:t>Notre attention portera en particulier sur un regard</w:t>
      </w:r>
      <w:r w:rsidR="00FD4DCE">
        <w:t xml:space="preserve"> comparatif impliquant les professionnels du Te Papa</w:t>
      </w:r>
      <w:r>
        <w:t>, et l’a</w:t>
      </w:r>
      <w:r w:rsidR="00FD4DCE">
        <w:t xml:space="preserve">pprofondissement </w:t>
      </w:r>
      <w:r>
        <w:t>d</w:t>
      </w:r>
      <w:r w:rsidR="00FD4DCE">
        <w:t>es relations d’intercultura</w:t>
      </w:r>
      <w:r>
        <w:t xml:space="preserve">lité dans les médiations, tant </w:t>
      </w:r>
      <w:proofErr w:type="gramStart"/>
      <w:r>
        <w:t>a</w:t>
      </w:r>
      <w:r w:rsidR="00FD4DCE">
        <w:t>u niveau</w:t>
      </w:r>
      <w:r>
        <w:t>x</w:t>
      </w:r>
      <w:proofErr w:type="gramEnd"/>
      <w:r>
        <w:t xml:space="preserve"> des représentations des profe</w:t>
      </w:r>
      <w:r w:rsidR="00FD4DCE">
        <w:t>ssionnels que des perceptions des publics.</w:t>
      </w:r>
    </w:p>
    <w:p w:rsidR="00FD4DCE" w:rsidRDefault="009A648E" w:rsidP="00A00BAA">
      <w:pPr>
        <w:pStyle w:val="Titre3"/>
      </w:pPr>
      <w:bookmarkStart w:id="51" w:name="_Toc385923211"/>
      <w:r>
        <w:t>1</w:t>
      </w:r>
      <w:r w:rsidR="00FD4DCE">
        <w:t>2. Conceptions et réceptions comparées de l’autochtonie</w:t>
      </w:r>
      <w:bookmarkEnd w:id="51"/>
    </w:p>
    <w:p w:rsidR="00FD4DCE" w:rsidRDefault="00D16704" w:rsidP="00A00BAA">
      <w:r w:rsidRPr="00D16704">
        <w:t xml:space="preserve">En créant des situations de confrontation de plusieurs visions de la culture – sans les opposer – l’itinérance de l’exposition </w:t>
      </w:r>
      <w:r w:rsidRPr="00D16704">
        <w:rPr>
          <w:i/>
        </w:rPr>
        <w:t xml:space="preserve">E </w:t>
      </w:r>
      <w:proofErr w:type="spellStart"/>
      <w:r w:rsidRPr="00D16704">
        <w:rPr>
          <w:i/>
        </w:rPr>
        <w:t>Tū</w:t>
      </w:r>
      <w:proofErr w:type="spellEnd"/>
      <w:r w:rsidRPr="00D16704">
        <w:rPr>
          <w:i/>
        </w:rPr>
        <w:t xml:space="preserve"> </w:t>
      </w:r>
      <w:proofErr w:type="spellStart"/>
      <w:r w:rsidRPr="00D16704">
        <w:rPr>
          <w:i/>
        </w:rPr>
        <w:t>Ake</w:t>
      </w:r>
      <w:proofErr w:type="spellEnd"/>
      <w:r w:rsidRPr="00D16704">
        <w:t xml:space="preserve"> ouvre le champ au dialogue interculturel et à l’analyse des rapports de force qui le traversent. Elle ménage des perspectives de recherche des</w:t>
      </w:r>
      <w:r>
        <w:t xml:space="preserve"> plus stimulantes en la matière. Les réceptions situées nationalement des aspects</w:t>
      </w:r>
      <w:r w:rsidR="00E435E3">
        <w:t xml:space="preserve"> politiques et de la question d</w:t>
      </w:r>
      <w:r>
        <w:t>e</w:t>
      </w:r>
      <w:r w:rsidR="009A648E">
        <w:t xml:space="preserve"> </w:t>
      </w:r>
      <w:r>
        <w:t>l’autochtonie sont l’une</w:t>
      </w:r>
      <w:r w:rsidR="009A648E">
        <w:t xml:space="preserve"> des pr</w:t>
      </w:r>
      <w:r>
        <w:t>incipales à explorer plus avant.</w:t>
      </w:r>
    </w:p>
    <w:p w:rsidR="00803778" w:rsidRDefault="009A648E" w:rsidP="009A648E">
      <w:pPr>
        <w:pStyle w:val="Titre3"/>
      </w:pPr>
      <w:bookmarkStart w:id="52" w:name="_Toc385923212"/>
      <w:r>
        <w:t>1</w:t>
      </w:r>
      <w:r w:rsidR="00FD4DCE">
        <w:t>3. Conceptions du patrimoine</w:t>
      </w:r>
      <w:r w:rsidR="00D16704">
        <w:t xml:space="preserve"> et rôle du musée</w:t>
      </w:r>
      <w:bookmarkEnd w:id="52"/>
    </w:p>
    <w:p w:rsidR="00D16704" w:rsidRPr="00D16704" w:rsidRDefault="00D16704" w:rsidP="00A00BAA">
      <w:r w:rsidRPr="00D16704">
        <w:t xml:space="preserve">Le regard posé sur les objets conservés et exposés, et le contrôle sur les corps qui l’accompagne obligent et permettent l’implication de différentes conceptions du patrimoine, autrement dit de différents rapports au passé et aux manières dont il « vit » dans le présent. </w:t>
      </w:r>
      <w:r>
        <w:t xml:space="preserve">Cet aspect concernant les </w:t>
      </w:r>
      <w:r>
        <w:lastRenderedPageBreak/>
        <w:t xml:space="preserve">musées de sciences et de société, et notamment d’ethnologie, à l’heure où leur </w:t>
      </w:r>
      <w:proofErr w:type="gramStart"/>
      <w:r>
        <w:t>rôle ,</w:t>
      </w:r>
      <w:proofErr w:type="gramEnd"/>
      <w:r>
        <w:t xml:space="preserve"> dans un contexte postcolonial, est questionné.</w:t>
      </w:r>
    </w:p>
    <w:p w:rsidR="00981065" w:rsidRPr="00981065" w:rsidRDefault="004D00AE" w:rsidP="009A648E">
      <w:pPr>
        <w:pStyle w:val="Titre2"/>
      </w:pPr>
      <w:bookmarkStart w:id="53" w:name="_Toc385923213"/>
      <w:r>
        <w:t xml:space="preserve">2. </w:t>
      </w:r>
      <w:r w:rsidR="00D16704">
        <w:t>Travaux en cours et pré</w:t>
      </w:r>
      <w:r>
        <w:t>vus</w:t>
      </w:r>
      <w:bookmarkEnd w:id="53"/>
    </w:p>
    <w:p w:rsidR="004D00AE" w:rsidRDefault="00981065" w:rsidP="00A00BAA">
      <w:pPr>
        <w:pStyle w:val="Titre3"/>
      </w:pPr>
      <w:bookmarkStart w:id="54" w:name="_Toc385923214"/>
      <w:r>
        <w:t>21. Communication</w:t>
      </w:r>
      <w:bookmarkEnd w:id="54"/>
    </w:p>
    <w:p w:rsidR="00981065" w:rsidRPr="00F3079F" w:rsidRDefault="004D00AE" w:rsidP="00A00BAA">
      <w:r w:rsidRPr="00F3079F">
        <w:t xml:space="preserve">Une communication est prévue </w:t>
      </w:r>
      <w:r w:rsidR="00D16704" w:rsidRPr="00F3079F">
        <w:t>au Colloque ICOFOM « Nouvelles tendances de la muséologie », Paris, 5-9-juin 2104.</w:t>
      </w:r>
      <w:r w:rsidR="00F3079F">
        <w:t xml:space="preserve"> Une publication du colloque est progra</w:t>
      </w:r>
      <w:r w:rsidR="00E435E3">
        <w:t>mmée :</w:t>
      </w:r>
    </w:p>
    <w:p w:rsidR="00981065" w:rsidRDefault="00216268" w:rsidP="00A00BAA">
      <w:proofErr w:type="spellStart"/>
      <w:r>
        <w:t>Crenn</w:t>
      </w:r>
      <w:proofErr w:type="spellEnd"/>
      <w:r>
        <w:t>, Gaëlle, Roustan, Mélanie, « </w:t>
      </w:r>
      <w:r w:rsidRPr="00216268">
        <w:t xml:space="preserve">L’exposition « E Tu </w:t>
      </w:r>
      <w:proofErr w:type="spellStart"/>
      <w:r w:rsidRPr="00216268">
        <w:t>Ake</w:t>
      </w:r>
      <w:proofErr w:type="spellEnd"/>
      <w:r w:rsidRPr="00216268">
        <w:t> » (Maori debout) à Wellington, Paris et Québec.</w:t>
      </w:r>
      <w:r>
        <w:t xml:space="preserve"> </w:t>
      </w:r>
      <w:r w:rsidRPr="00216268">
        <w:t>Affirmation culturelle et politiques du patrimoine, comparaison entre trois contextes muséaux.</w:t>
      </w:r>
      <w:r w:rsidR="00981065">
        <w:t> »</w:t>
      </w:r>
    </w:p>
    <w:p w:rsidR="00981065" w:rsidRDefault="005E38A8" w:rsidP="00A00BAA">
      <w:pPr>
        <w:rPr>
          <w:rStyle w:val="Rfrenceintense"/>
        </w:rPr>
      </w:pPr>
      <w:r>
        <w:rPr>
          <w:rStyle w:val="Rfrenceintense"/>
        </w:rPr>
        <w:t>ANNEXE 6</w:t>
      </w:r>
    </w:p>
    <w:p w:rsidR="00981065" w:rsidRPr="00981065" w:rsidRDefault="00981065" w:rsidP="00A00BAA">
      <w:pPr>
        <w:pStyle w:val="Titre3"/>
        <w:rPr>
          <w:rStyle w:val="Rfrenceintense"/>
          <w:smallCaps w:val="0"/>
          <w:color w:val="4F81BD" w:themeColor="accent1"/>
          <w:spacing w:val="0"/>
          <w:u w:val="none"/>
        </w:rPr>
      </w:pPr>
      <w:bookmarkStart w:id="55" w:name="_Toc385923215"/>
      <w:r w:rsidRPr="00981065">
        <w:rPr>
          <w:rStyle w:val="Rfrenceintense"/>
          <w:smallCaps w:val="0"/>
          <w:color w:val="4F81BD" w:themeColor="accent1"/>
          <w:spacing w:val="0"/>
          <w:u w:val="none"/>
        </w:rPr>
        <w:t>22. Articles</w:t>
      </w:r>
      <w:bookmarkEnd w:id="55"/>
    </w:p>
    <w:p w:rsidR="00216268" w:rsidRPr="00803778" w:rsidRDefault="00D16704" w:rsidP="00A00BAA">
      <w:r>
        <w:t>Deux articles sont en préparation pour les mois à venir</w:t>
      </w:r>
      <w:r w:rsidR="00F3079F">
        <w:t> :</w:t>
      </w:r>
    </w:p>
    <w:p w:rsidR="00803778" w:rsidRPr="00803778" w:rsidRDefault="00D16704" w:rsidP="00A00BAA">
      <w:r>
        <w:t>1)</w:t>
      </w:r>
      <w:r w:rsidR="001E67F7">
        <w:t xml:space="preserve"> Article comparant </w:t>
      </w:r>
      <w:r>
        <w:t xml:space="preserve">la perception des pratiques muséographiques des </w:t>
      </w:r>
      <w:r w:rsidR="001E67F7">
        <w:t xml:space="preserve">professionnels </w:t>
      </w:r>
      <w:r>
        <w:t xml:space="preserve">de Paris, </w:t>
      </w:r>
      <w:r w:rsidR="001E67F7">
        <w:t xml:space="preserve"> Wellington</w:t>
      </w:r>
      <w:r>
        <w:t xml:space="preserve"> et Québec</w:t>
      </w:r>
      <w:r w:rsidR="001E67F7">
        <w:t xml:space="preserve"> (L</w:t>
      </w:r>
      <w:r>
        <w:t xml:space="preserve">ee </w:t>
      </w:r>
      <w:r w:rsidR="001E67F7">
        <w:t>D</w:t>
      </w:r>
      <w:r>
        <w:t xml:space="preserve">avidson, Gaëlle </w:t>
      </w:r>
      <w:proofErr w:type="spellStart"/>
      <w:r>
        <w:t>Crenn</w:t>
      </w:r>
      <w:proofErr w:type="spellEnd"/>
      <w:r>
        <w:t>)</w:t>
      </w:r>
    </w:p>
    <w:p w:rsidR="00E663FD" w:rsidRDefault="00D16704" w:rsidP="00A00BAA">
      <w:r>
        <w:t xml:space="preserve">2) </w:t>
      </w:r>
      <w:r w:rsidR="001E67F7">
        <w:t xml:space="preserve">Article sur la réception </w:t>
      </w:r>
      <w:r>
        <w:t xml:space="preserve">croisée </w:t>
      </w:r>
      <w:r w:rsidR="001E67F7">
        <w:t>de l’autochtonie</w:t>
      </w:r>
      <w:r>
        <w:t xml:space="preserve"> à Paris et à Québec </w:t>
      </w:r>
      <w:r w:rsidR="001E67F7">
        <w:t xml:space="preserve"> (</w:t>
      </w:r>
      <w:r>
        <w:t>Natacha Gagné, Mélanie Roustan)</w:t>
      </w:r>
    </w:p>
    <w:sectPr w:rsidR="00E663FD">
      <w:headerReference w:type="default" r:id="rId11"/>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8" w:author="Gaelle Crenn" w:date="2014-04-22T09:11:00Z" w:initials="GC">
    <w:p w:rsidR="00604CB7" w:rsidRDefault="00604CB7" w:rsidP="00604CB7">
      <w:pPr>
        <w:pStyle w:val="Commentaire"/>
      </w:pPr>
      <w:r>
        <w:rPr>
          <w:rStyle w:val="Marquedecommentaire"/>
        </w:rPr>
        <w:annotationRef/>
      </w:r>
      <w:proofErr w:type="spellStart"/>
      <w:proofErr w:type="gramStart"/>
      <w:r>
        <w:t>inserer</w:t>
      </w:r>
      <w:proofErr w:type="spellEnd"/>
      <w:proofErr w:type="gramEnd"/>
      <w:r>
        <w:t xml:space="preserve"> </w:t>
      </w:r>
      <w:proofErr w:type="spellStart"/>
      <w:r>
        <w:t>entr</w:t>
      </w:r>
      <w:proofErr w:type="spellEnd"/>
      <w:r>
        <w:t xml:space="preserve"> MM</w:t>
      </w:r>
    </w:p>
  </w:comment>
  <w:comment w:id="39" w:author="crenn5" w:date="2014-04-22T09:11:00Z" w:initials="gc">
    <w:p w:rsidR="00604CB7" w:rsidRDefault="00604CB7" w:rsidP="00604CB7">
      <w:pPr>
        <w:pStyle w:val="Commentaire"/>
      </w:pPr>
      <w:r>
        <w:rPr>
          <w:rStyle w:val="Marquedecommentaire"/>
        </w:rPr>
        <w:annotationRef/>
      </w:r>
      <w:r>
        <w:t>Appliquer les registres de Boltanski et Thévenot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0EDF" w:rsidRDefault="00C40EDF" w:rsidP="00CF6DD2">
      <w:pPr>
        <w:spacing w:after="0" w:line="240" w:lineRule="auto"/>
      </w:pPr>
      <w:r>
        <w:separator/>
      </w:r>
    </w:p>
  </w:endnote>
  <w:endnote w:type="continuationSeparator" w:id="0">
    <w:p w:rsidR="00C40EDF" w:rsidRDefault="00C40EDF" w:rsidP="00CF6D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0EDF" w:rsidRDefault="00C40EDF" w:rsidP="00CF6DD2">
      <w:pPr>
        <w:spacing w:after="0" w:line="240" w:lineRule="auto"/>
      </w:pPr>
      <w:r>
        <w:separator/>
      </w:r>
    </w:p>
  </w:footnote>
  <w:footnote w:type="continuationSeparator" w:id="0">
    <w:p w:rsidR="00C40EDF" w:rsidRDefault="00C40EDF" w:rsidP="00CF6DD2">
      <w:pPr>
        <w:spacing w:after="0" w:line="240" w:lineRule="auto"/>
      </w:pPr>
      <w:r>
        <w:continuationSeparator/>
      </w:r>
    </w:p>
  </w:footnote>
  <w:footnote w:id="1">
    <w:p w:rsidR="00604CB7" w:rsidRDefault="00604CB7" w:rsidP="00CF6DD2">
      <w:pPr>
        <w:rPr>
          <w:rFonts w:ascii="Trebuchet MS" w:hAnsi="Trebuchet MS" w:cs="Trebuchet MS"/>
          <w:sz w:val="20"/>
          <w:szCs w:val="20"/>
          <w:lang w:val="en-US" w:eastAsia="fr-FR"/>
        </w:rPr>
      </w:pPr>
      <w:r>
        <w:rPr>
          <w:rStyle w:val="Appelnotedebasdep"/>
        </w:rPr>
        <w:footnoteRef/>
      </w:r>
      <w:r w:rsidRPr="007D25BE">
        <w:rPr>
          <w:lang w:val="en-US"/>
        </w:rPr>
        <w:t xml:space="preserve"> </w:t>
      </w:r>
      <w:r>
        <w:rPr>
          <w:rFonts w:ascii="Trebuchet MS" w:hAnsi="Trebuchet MS" w:cs="Trebuchet MS"/>
          <w:sz w:val="20"/>
          <w:szCs w:val="20"/>
          <w:lang w:val="en-US" w:eastAsia="fr-FR"/>
        </w:rPr>
        <w:t>Clifford</w:t>
      </w:r>
    </w:p>
    <w:p w:rsidR="00604CB7" w:rsidRPr="007D25BE" w:rsidRDefault="00604CB7" w:rsidP="00CF6DD2">
      <w:pPr>
        <w:pStyle w:val="Notedebasdepage"/>
        <w:rPr>
          <w:lang w:val="en-US"/>
        </w:rPr>
      </w:pPr>
    </w:p>
  </w:footnote>
  <w:footnote w:id="2">
    <w:p w:rsidR="00604CB7" w:rsidRDefault="00604CB7" w:rsidP="00604CB7">
      <w:pPr>
        <w:pStyle w:val="Notedebasdepage"/>
      </w:pPr>
      <w:r>
        <w:rPr>
          <w:rStyle w:val="Appelnotedebasdep"/>
        </w:rPr>
        <w:footnoteRef/>
      </w:r>
      <w:r>
        <w:t xml:space="preserve"> </w:t>
      </w:r>
      <w:r>
        <w:rPr>
          <w:rStyle w:val="lev"/>
          <w:rFonts w:cs="Calibri"/>
        </w:rPr>
        <w:t>(</w:t>
      </w:r>
      <w:proofErr w:type="gramStart"/>
      <w:r>
        <w:rPr>
          <w:rStyle w:val="lev"/>
          <w:rFonts w:cs="Calibri"/>
        </w:rPr>
        <w:t>remplacée</w:t>
      </w:r>
      <w:proofErr w:type="gramEnd"/>
      <w:r>
        <w:rPr>
          <w:rStyle w:val="lev"/>
          <w:rFonts w:cs="Calibri"/>
        </w:rPr>
        <w:t xml:space="preserve"> ensuite par </w:t>
      </w:r>
      <w:proofErr w:type="spellStart"/>
      <w:r>
        <w:rPr>
          <w:rStyle w:val="lev"/>
          <w:rFonts w:cs="Calibri"/>
        </w:rPr>
        <w:t>Ronda</w:t>
      </w:r>
      <w:proofErr w:type="spellEnd"/>
      <w:r>
        <w:rPr>
          <w:rStyle w:val="lev"/>
          <w:rFonts w:cs="Calibri"/>
        </w:rPr>
        <w:t xml:space="preserve"> </w:t>
      </w:r>
      <w:proofErr w:type="spellStart"/>
      <w:r>
        <w:rPr>
          <w:rStyle w:val="lev"/>
          <w:rFonts w:cs="Calibri"/>
        </w:rPr>
        <w:t>Paku</w:t>
      </w:r>
      <w:proofErr w:type="spellEnd"/>
      <w:r>
        <w:rPr>
          <w:rStyle w:val="lev"/>
          <w:rFonts w:cs="Calibri"/>
        </w:rPr>
        <w:t>)</w:t>
      </w:r>
    </w:p>
  </w:footnote>
  <w:footnote w:id="3">
    <w:p w:rsidR="00604CB7" w:rsidRDefault="00604CB7" w:rsidP="00604CB7">
      <w:pPr>
        <w:pStyle w:val="Notedebasdepage"/>
      </w:pPr>
      <w:r>
        <w:rPr>
          <w:rStyle w:val="Appelnotedebasdep"/>
        </w:rPr>
        <w:footnoteRef/>
      </w:r>
      <w:r>
        <w:t xml:space="preserve"> </w:t>
      </w:r>
      <w:r>
        <w:rPr>
          <w:rStyle w:val="lev"/>
          <w:rFonts w:cs="Calibri"/>
        </w:rPr>
        <w:t xml:space="preserve">Pour ce faire, l’itinérance est envisagée pour un temps assez long- les </w:t>
      </w:r>
      <w:proofErr w:type="spellStart"/>
      <w:r>
        <w:rPr>
          <w:rStyle w:val="lev"/>
          <w:rFonts w:cs="Calibri"/>
        </w:rPr>
        <w:t>oeuvres</w:t>
      </w:r>
      <w:proofErr w:type="spellEnd"/>
      <w:r>
        <w:rPr>
          <w:rStyle w:val="lev"/>
          <w:rFonts w:cs="Calibri"/>
        </w:rPr>
        <w:t xml:space="preserve"> étant prévues pour être en circulation déjà au moins quinze moins pour les expositions de Wellington, Paris et Québec (TPT, Document concept).</w:t>
      </w:r>
    </w:p>
  </w:footnote>
  <w:footnote w:id="4">
    <w:p w:rsidR="00604CB7" w:rsidRPr="00CA796C" w:rsidRDefault="00604CB7" w:rsidP="00604CB7">
      <w:pPr>
        <w:rPr>
          <w:rFonts w:cs="Calibri"/>
          <w:bCs/>
          <w:sz w:val="20"/>
          <w:szCs w:val="20"/>
        </w:rPr>
      </w:pPr>
      <w:r w:rsidRPr="00CA796C">
        <w:rPr>
          <w:rStyle w:val="Appelnotedebasdep"/>
        </w:rPr>
        <w:footnoteRef/>
      </w:r>
      <w:r w:rsidRPr="00CA796C">
        <w:rPr>
          <w:sz w:val="20"/>
          <w:szCs w:val="20"/>
        </w:rPr>
        <w:t xml:space="preserve"> </w:t>
      </w:r>
      <w:proofErr w:type="spellStart"/>
      <w:r w:rsidRPr="00CA796C">
        <w:rPr>
          <w:rStyle w:val="lev"/>
          <w:rFonts w:cs="Calibri"/>
          <w:i/>
          <w:sz w:val="20"/>
          <w:szCs w:val="20"/>
        </w:rPr>
        <w:t>Identity</w:t>
      </w:r>
      <w:proofErr w:type="spellEnd"/>
      <w:r w:rsidRPr="00CA796C">
        <w:rPr>
          <w:rStyle w:val="lev"/>
          <w:rFonts w:cs="Calibri"/>
          <w:i/>
          <w:sz w:val="20"/>
          <w:szCs w:val="20"/>
        </w:rPr>
        <w:t xml:space="preserve"> and </w:t>
      </w:r>
      <w:proofErr w:type="spellStart"/>
      <w:r w:rsidRPr="00CA796C">
        <w:rPr>
          <w:rStyle w:val="lev"/>
          <w:rFonts w:cs="Calibri"/>
          <w:i/>
          <w:sz w:val="20"/>
          <w:szCs w:val="20"/>
        </w:rPr>
        <w:t>interconnectedness</w:t>
      </w:r>
      <w:proofErr w:type="spellEnd"/>
      <w:r w:rsidRPr="00CA796C">
        <w:rPr>
          <w:rStyle w:val="lev"/>
          <w:rFonts w:cs="Calibri"/>
          <w:sz w:val="20"/>
          <w:szCs w:val="20"/>
        </w:rPr>
        <w:t xml:space="preserve"> </w:t>
      </w:r>
      <w:proofErr w:type="gramStart"/>
      <w:r w:rsidRPr="00CA796C">
        <w:rPr>
          <w:rStyle w:val="lev"/>
          <w:rFonts w:cs="Calibri"/>
          <w:sz w:val="20"/>
          <w:szCs w:val="20"/>
        </w:rPr>
        <w:t>( titre</w:t>
      </w:r>
      <w:proofErr w:type="gramEnd"/>
      <w:r w:rsidRPr="00CA796C">
        <w:rPr>
          <w:rStyle w:val="lev"/>
          <w:rFonts w:cs="Calibri"/>
          <w:sz w:val="20"/>
          <w:szCs w:val="20"/>
        </w:rPr>
        <w:t xml:space="preserve"> de sections dans le catalogue et dans les textes d’exposition, version originale anglaise)</w:t>
      </w:r>
      <w:r>
        <w:rPr>
          <w:rStyle w:val="lev"/>
          <w:rFonts w:cs="Calibri"/>
          <w:sz w:val="20"/>
          <w:szCs w:val="20"/>
        </w:rPr>
        <w:t>.</w:t>
      </w:r>
    </w:p>
  </w:footnote>
  <w:footnote w:id="5">
    <w:p w:rsidR="00604CB7" w:rsidRPr="00CA796C" w:rsidRDefault="00604CB7" w:rsidP="00604CB7">
      <w:pPr>
        <w:pStyle w:val="Notedebasdepage"/>
        <w:rPr>
          <w:rFonts w:cs="Calibri"/>
          <w:bCs/>
          <w:i/>
          <w:lang w:val="en-US"/>
        </w:rPr>
      </w:pPr>
      <w:r>
        <w:rPr>
          <w:rStyle w:val="Appelnotedebasdep"/>
        </w:rPr>
        <w:footnoteRef/>
      </w:r>
      <w:r w:rsidRPr="007210AF">
        <w:rPr>
          <w:lang w:val="en-US"/>
        </w:rPr>
        <w:t xml:space="preserve"> </w:t>
      </w:r>
      <w:r w:rsidRPr="00CA796C">
        <w:rPr>
          <w:rStyle w:val="lev"/>
          <w:rFonts w:cs="Calibri"/>
          <w:i/>
          <w:lang w:val="en-US"/>
        </w:rPr>
        <w:t>Empowerment and leadership</w:t>
      </w:r>
    </w:p>
  </w:footnote>
  <w:footnote w:id="6">
    <w:p w:rsidR="00604CB7" w:rsidRPr="009B1EF5" w:rsidRDefault="00604CB7" w:rsidP="00604CB7">
      <w:pPr>
        <w:rPr>
          <w:rFonts w:cs="Calibri"/>
          <w:bCs/>
          <w:sz w:val="20"/>
          <w:szCs w:val="20"/>
          <w:lang w:val="en-US"/>
        </w:rPr>
      </w:pPr>
      <w:r w:rsidRPr="009A5EA5">
        <w:rPr>
          <w:rStyle w:val="Appelnotedebasdep"/>
        </w:rPr>
        <w:footnoteRef/>
      </w:r>
      <w:r w:rsidRPr="009B1EF5">
        <w:rPr>
          <w:sz w:val="20"/>
          <w:szCs w:val="20"/>
          <w:lang w:val="en-US"/>
        </w:rPr>
        <w:t xml:space="preserve"> </w:t>
      </w:r>
      <w:r w:rsidRPr="009B1EF5">
        <w:rPr>
          <w:rStyle w:val="lev"/>
          <w:rFonts w:cs="Calibri"/>
          <w:i/>
          <w:sz w:val="20"/>
          <w:szCs w:val="20"/>
          <w:lang w:val="en-US"/>
        </w:rPr>
        <w:t>Protection and sustainability; guardianship ; stewardship</w:t>
      </w:r>
      <w:r w:rsidRPr="009B1EF5">
        <w:rPr>
          <w:rStyle w:val="lev"/>
          <w:rFonts w:cs="Calibri"/>
          <w:sz w:val="20"/>
          <w:szCs w:val="20"/>
          <w:lang w:val="en-US"/>
        </w:rPr>
        <w:t> </w:t>
      </w:r>
    </w:p>
  </w:footnote>
  <w:footnote w:id="7">
    <w:p w:rsidR="00604CB7" w:rsidRDefault="00604CB7" w:rsidP="00604CB7">
      <w:pPr>
        <w:pStyle w:val="Notedebasdepage"/>
      </w:pPr>
      <w:r>
        <w:rPr>
          <w:rStyle w:val="Appelnotedebasdep"/>
        </w:rPr>
        <w:footnoteRef/>
      </w:r>
      <w:r>
        <w:t xml:space="preserve"> </w:t>
      </w:r>
      <w:r>
        <w:rPr>
          <w:rStyle w:val="lev"/>
          <w:rFonts w:cs="Calibri"/>
        </w:rPr>
        <w:t>On observe le même dispositif pour le portai</w:t>
      </w:r>
      <w:r>
        <w:rPr>
          <w:rStyle w:val="lev"/>
          <w:rFonts w:cs="Calibri"/>
          <w:b w:val="0"/>
        </w:rPr>
        <w:t>l dans le hall d’accueil du Te Papa</w:t>
      </w:r>
      <w:r>
        <w:rPr>
          <w:rStyle w:val="lev"/>
          <w:rFonts w:cs="Calibri"/>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3853136"/>
      <w:docPartObj>
        <w:docPartGallery w:val="Page Numbers (Top of Page)"/>
        <w:docPartUnique/>
      </w:docPartObj>
    </w:sdtPr>
    <w:sdtEndPr/>
    <w:sdtContent>
      <w:p w:rsidR="00604CB7" w:rsidRDefault="00604CB7">
        <w:pPr>
          <w:pStyle w:val="En-tte"/>
          <w:jc w:val="right"/>
        </w:pPr>
        <w:r>
          <w:fldChar w:fldCharType="begin"/>
        </w:r>
        <w:r>
          <w:instrText>PAGE   \* MERGEFORMAT</w:instrText>
        </w:r>
        <w:r>
          <w:fldChar w:fldCharType="separate"/>
        </w:r>
        <w:r w:rsidR="007A429B">
          <w:rPr>
            <w:noProof/>
          </w:rPr>
          <w:t>3</w:t>
        </w:r>
        <w:r>
          <w:fldChar w:fldCharType="end"/>
        </w:r>
      </w:p>
    </w:sdtContent>
  </w:sdt>
  <w:p w:rsidR="00604CB7" w:rsidRDefault="00604CB7">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ED2554"/>
    <w:multiLevelType w:val="hybridMultilevel"/>
    <w:tmpl w:val="0308AF50"/>
    <w:lvl w:ilvl="0" w:tplc="32622BFE">
      <w:start w:val="1"/>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6728"/>
    <w:rsid w:val="00052826"/>
    <w:rsid w:val="000A7248"/>
    <w:rsid w:val="000B2540"/>
    <w:rsid w:val="0012327C"/>
    <w:rsid w:val="001E0CBE"/>
    <w:rsid w:val="001E67F7"/>
    <w:rsid w:val="00216268"/>
    <w:rsid w:val="00252B92"/>
    <w:rsid w:val="002D5221"/>
    <w:rsid w:val="0033099F"/>
    <w:rsid w:val="00375A02"/>
    <w:rsid w:val="003C4E5C"/>
    <w:rsid w:val="0048496E"/>
    <w:rsid w:val="004D00AE"/>
    <w:rsid w:val="00531B90"/>
    <w:rsid w:val="00561C17"/>
    <w:rsid w:val="00576BDB"/>
    <w:rsid w:val="005B56E0"/>
    <w:rsid w:val="005E38A8"/>
    <w:rsid w:val="00604C89"/>
    <w:rsid w:val="00604CB7"/>
    <w:rsid w:val="006C63AC"/>
    <w:rsid w:val="00792DC5"/>
    <w:rsid w:val="007935E1"/>
    <w:rsid w:val="007A429B"/>
    <w:rsid w:val="007E71B3"/>
    <w:rsid w:val="00803778"/>
    <w:rsid w:val="008E7358"/>
    <w:rsid w:val="008F6728"/>
    <w:rsid w:val="00981065"/>
    <w:rsid w:val="00987D2C"/>
    <w:rsid w:val="009A648E"/>
    <w:rsid w:val="00A00BAA"/>
    <w:rsid w:val="00A732F9"/>
    <w:rsid w:val="00A74610"/>
    <w:rsid w:val="00B0091A"/>
    <w:rsid w:val="00C4083B"/>
    <w:rsid w:val="00C40EDF"/>
    <w:rsid w:val="00CC11A2"/>
    <w:rsid w:val="00CF6DD2"/>
    <w:rsid w:val="00D16704"/>
    <w:rsid w:val="00D65962"/>
    <w:rsid w:val="00D753B9"/>
    <w:rsid w:val="00E435E3"/>
    <w:rsid w:val="00E663FD"/>
    <w:rsid w:val="00ED2B6E"/>
    <w:rsid w:val="00EE0ECB"/>
    <w:rsid w:val="00F3079F"/>
    <w:rsid w:val="00F65BA9"/>
    <w:rsid w:val="00F94EE3"/>
    <w:rsid w:val="00FD4DC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2DC5"/>
    <w:pPr>
      <w:jc w:val="both"/>
    </w:pPr>
    <w:rPr>
      <w:rFonts w:ascii="Calibri" w:hAnsi="Calibri"/>
    </w:rPr>
  </w:style>
  <w:style w:type="paragraph" w:styleId="Titre1">
    <w:name w:val="heading 1"/>
    <w:basedOn w:val="Normal"/>
    <w:next w:val="Normal"/>
    <w:link w:val="Titre1Car"/>
    <w:uiPriority w:val="9"/>
    <w:qFormat/>
    <w:rsid w:val="001E67F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1E67F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1E67F7"/>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rsid w:val="002D5221"/>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REF">
    <w:name w:val="REF"/>
    <w:next w:val="Normal"/>
    <w:autoRedefine/>
    <w:qFormat/>
    <w:rsid w:val="00375A02"/>
    <w:pPr>
      <w:spacing w:after="0" w:line="240" w:lineRule="auto"/>
    </w:pPr>
    <w:rPr>
      <w:rFonts w:ascii="Calibri" w:eastAsia="Times New Roman" w:hAnsi="Calibri" w:cs="Times New Roman"/>
      <w:b/>
      <w:color w:val="7030A0"/>
      <w:lang w:eastAsia="fr-FR"/>
    </w:rPr>
  </w:style>
  <w:style w:type="paragraph" w:customStyle="1" w:styleId="Rfrenceperso">
    <w:name w:val="Référence perso"/>
    <w:next w:val="Normal"/>
    <w:autoRedefine/>
    <w:qFormat/>
    <w:rsid w:val="00375A02"/>
    <w:pPr>
      <w:spacing w:after="0" w:line="240" w:lineRule="auto"/>
    </w:pPr>
    <w:rPr>
      <w:rFonts w:ascii="Calibri" w:eastAsia="Times New Roman" w:hAnsi="Calibri" w:cs="Times New Roman"/>
      <w:b/>
      <w:color w:val="7030A0"/>
      <w:lang w:eastAsia="fr-FR"/>
    </w:rPr>
  </w:style>
  <w:style w:type="paragraph" w:styleId="Citation">
    <w:name w:val="Quote"/>
    <w:basedOn w:val="Normal"/>
    <w:next w:val="Normal"/>
    <w:link w:val="CitationCar"/>
    <w:autoRedefine/>
    <w:uiPriority w:val="29"/>
    <w:qFormat/>
    <w:rsid w:val="00EE0ECB"/>
    <w:pPr>
      <w:ind w:left="567"/>
    </w:pPr>
    <w:rPr>
      <w:i/>
      <w:iCs/>
      <w:color w:val="000000" w:themeColor="text1"/>
    </w:rPr>
  </w:style>
  <w:style w:type="character" w:customStyle="1" w:styleId="CitationCar">
    <w:name w:val="Citation Car"/>
    <w:basedOn w:val="Policepardfaut"/>
    <w:link w:val="Citation"/>
    <w:uiPriority w:val="29"/>
    <w:rsid w:val="00EE0ECB"/>
    <w:rPr>
      <w:i/>
      <w:iCs/>
      <w:color w:val="000000" w:themeColor="text1"/>
    </w:rPr>
  </w:style>
  <w:style w:type="character" w:customStyle="1" w:styleId="Titre1Car">
    <w:name w:val="Titre 1 Car"/>
    <w:basedOn w:val="Policepardfaut"/>
    <w:link w:val="Titre1"/>
    <w:uiPriority w:val="9"/>
    <w:rsid w:val="001E67F7"/>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sid w:val="001E67F7"/>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rsid w:val="001E67F7"/>
    <w:rPr>
      <w:rFonts w:asciiTheme="majorHAnsi" w:eastAsiaTheme="majorEastAsia" w:hAnsiTheme="majorHAnsi" w:cstheme="majorBidi"/>
      <w:b/>
      <w:bCs/>
      <w:color w:val="4F81BD" w:themeColor="accent1"/>
    </w:rPr>
  </w:style>
  <w:style w:type="paragraph" w:styleId="Commentaire">
    <w:name w:val="annotation text"/>
    <w:basedOn w:val="Normal"/>
    <w:link w:val="CommentaireCar"/>
    <w:uiPriority w:val="99"/>
    <w:semiHidden/>
    <w:unhideWhenUsed/>
    <w:rsid w:val="00CF6DD2"/>
    <w:pPr>
      <w:spacing w:line="240" w:lineRule="auto"/>
    </w:pPr>
    <w:rPr>
      <w:sz w:val="20"/>
      <w:szCs w:val="20"/>
    </w:rPr>
  </w:style>
  <w:style w:type="character" w:customStyle="1" w:styleId="CommentaireCar">
    <w:name w:val="Commentaire Car"/>
    <w:basedOn w:val="Policepardfaut"/>
    <w:link w:val="Commentaire"/>
    <w:uiPriority w:val="99"/>
    <w:semiHidden/>
    <w:rsid w:val="00CF6DD2"/>
    <w:rPr>
      <w:sz w:val="20"/>
      <w:szCs w:val="20"/>
    </w:rPr>
  </w:style>
  <w:style w:type="character" w:styleId="Marquedecommentaire">
    <w:name w:val="annotation reference"/>
    <w:uiPriority w:val="99"/>
    <w:unhideWhenUsed/>
    <w:rsid w:val="00CF6DD2"/>
    <w:rPr>
      <w:sz w:val="16"/>
      <w:szCs w:val="16"/>
    </w:rPr>
  </w:style>
  <w:style w:type="paragraph" w:styleId="Notedebasdepage">
    <w:name w:val="footnote text"/>
    <w:basedOn w:val="Normal"/>
    <w:link w:val="NotedebasdepageCar"/>
    <w:uiPriority w:val="99"/>
    <w:semiHidden/>
    <w:unhideWhenUsed/>
    <w:rsid w:val="00CF6DD2"/>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CF6DD2"/>
    <w:rPr>
      <w:sz w:val="20"/>
      <w:szCs w:val="20"/>
    </w:rPr>
  </w:style>
  <w:style w:type="character" w:styleId="Appelnotedebasdep">
    <w:name w:val="footnote reference"/>
    <w:uiPriority w:val="99"/>
    <w:semiHidden/>
    <w:unhideWhenUsed/>
    <w:rsid w:val="00CF6DD2"/>
    <w:rPr>
      <w:vertAlign w:val="superscript"/>
    </w:rPr>
  </w:style>
  <w:style w:type="paragraph" w:styleId="Textedebulles">
    <w:name w:val="Balloon Text"/>
    <w:basedOn w:val="Normal"/>
    <w:link w:val="TextedebullesCar"/>
    <w:uiPriority w:val="99"/>
    <w:semiHidden/>
    <w:unhideWhenUsed/>
    <w:rsid w:val="00CF6DD2"/>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F6DD2"/>
    <w:rPr>
      <w:rFonts w:ascii="Tahoma" w:hAnsi="Tahoma" w:cs="Tahoma"/>
      <w:sz w:val="16"/>
      <w:szCs w:val="16"/>
    </w:rPr>
  </w:style>
  <w:style w:type="table" w:styleId="Grilledutableau">
    <w:name w:val="Table Grid"/>
    <w:basedOn w:val="TableauNormal"/>
    <w:uiPriority w:val="59"/>
    <w:rsid w:val="00CF6D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ev">
    <w:name w:val="Strong"/>
    <w:uiPriority w:val="22"/>
    <w:qFormat/>
    <w:rsid w:val="00803778"/>
    <w:rPr>
      <w:b/>
      <w:bCs/>
    </w:rPr>
  </w:style>
  <w:style w:type="paragraph" w:styleId="Titre">
    <w:name w:val="Title"/>
    <w:basedOn w:val="Normal"/>
    <w:next w:val="Normal"/>
    <w:link w:val="TitreCar"/>
    <w:uiPriority w:val="10"/>
    <w:qFormat/>
    <w:rsid w:val="0080377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803778"/>
    <w:rPr>
      <w:rFonts w:asciiTheme="majorHAnsi" w:eastAsiaTheme="majorEastAsia" w:hAnsiTheme="majorHAnsi" w:cstheme="majorBidi"/>
      <w:color w:val="17365D" w:themeColor="text2" w:themeShade="BF"/>
      <w:spacing w:val="5"/>
      <w:kern w:val="28"/>
      <w:sz w:val="52"/>
      <w:szCs w:val="52"/>
    </w:rPr>
  </w:style>
  <w:style w:type="character" w:customStyle="1" w:styleId="Titre4Car">
    <w:name w:val="Titre 4 Car"/>
    <w:basedOn w:val="Policepardfaut"/>
    <w:link w:val="Titre4"/>
    <w:uiPriority w:val="9"/>
    <w:semiHidden/>
    <w:rsid w:val="002D5221"/>
    <w:rPr>
      <w:rFonts w:asciiTheme="majorHAnsi" w:eastAsiaTheme="majorEastAsia" w:hAnsiTheme="majorHAnsi" w:cstheme="majorBidi"/>
      <w:b/>
      <w:bCs/>
      <w:i/>
      <w:iCs/>
      <w:color w:val="4F81BD" w:themeColor="accent1"/>
    </w:rPr>
  </w:style>
  <w:style w:type="character" w:styleId="Lienhypertexte">
    <w:name w:val="Hyperlink"/>
    <w:basedOn w:val="Policepardfaut"/>
    <w:uiPriority w:val="99"/>
    <w:unhideWhenUsed/>
    <w:rsid w:val="002D5221"/>
    <w:rPr>
      <w:color w:val="0000FF" w:themeColor="hyperlink"/>
      <w:u w:val="single"/>
    </w:rPr>
  </w:style>
  <w:style w:type="paragraph" w:styleId="Sansinterligne">
    <w:name w:val="No Spacing"/>
    <w:uiPriority w:val="1"/>
    <w:qFormat/>
    <w:rsid w:val="0012327C"/>
    <w:pPr>
      <w:spacing w:after="0" w:line="240" w:lineRule="auto"/>
    </w:pPr>
  </w:style>
  <w:style w:type="paragraph" w:styleId="En-ttedetabledesmatires">
    <w:name w:val="TOC Heading"/>
    <w:basedOn w:val="Titre1"/>
    <w:next w:val="Normal"/>
    <w:uiPriority w:val="39"/>
    <w:semiHidden/>
    <w:unhideWhenUsed/>
    <w:qFormat/>
    <w:rsid w:val="0012327C"/>
    <w:pPr>
      <w:outlineLvl w:val="9"/>
    </w:pPr>
    <w:rPr>
      <w:lang w:eastAsia="fr-FR"/>
    </w:rPr>
  </w:style>
  <w:style w:type="paragraph" w:styleId="TM1">
    <w:name w:val="toc 1"/>
    <w:basedOn w:val="Normal"/>
    <w:next w:val="Normal"/>
    <w:autoRedefine/>
    <w:uiPriority w:val="39"/>
    <w:unhideWhenUsed/>
    <w:rsid w:val="0012327C"/>
    <w:pPr>
      <w:spacing w:after="100"/>
    </w:pPr>
  </w:style>
  <w:style w:type="paragraph" w:styleId="TM2">
    <w:name w:val="toc 2"/>
    <w:basedOn w:val="Normal"/>
    <w:next w:val="Normal"/>
    <w:autoRedefine/>
    <w:uiPriority w:val="39"/>
    <w:unhideWhenUsed/>
    <w:rsid w:val="0012327C"/>
    <w:pPr>
      <w:spacing w:after="100"/>
      <w:ind w:left="220"/>
    </w:pPr>
  </w:style>
  <w:style w:type="paragraph" w:styleId="TM3">
    <w:name w:val="toc 3"/>
    <w:basedOn w:val="Normal"/>
    <w:next w:val="Normal"/>
    <w:autoRedefine/>
    <w:uiPriority w:val="39"/>
    <w:unhideWhenUsed/>
    <w:rsid w:val="0012327C"/>
    <w:pPr>
      <w:spacing w:after="100"/>
      <w:ind w:left="440"/>
    </w:pPr>
  </w:style>
  <w:style w:type="character" w:styleId="Rfrenceintense">
    <w:name w:val="Intense Reference"/>
    <w:basedOn w:val="Policepardfaut"/>
    <w:uiPriority w:val="32"/>
    <w:qFormat/>
    <w:rsid w:val="004D00AE"/>
    <w:rPr>
      <w:b/>
      <w:bCs/>
      <w:smallCaps/>
      <w:color w:val="C0504D" w:themeColor="accent2"/>
      <w:spacing w:val="5"/>
      <w:u w:val="single"/>
    </w:rPr>
  </w:style>
  <w:style w:type="paragraph" w:styleId="En-tte">
    <w:name w:val="header"/>
    <w:basedOn w:val="Normal"/>
    <w:link w:val="En-tteCar"/>
    <w:uiPriority w:val="99"/>
    <w:unhideWhenUsed/>
    <w:rsid w:val="00E435E3"/>
    <w:pPr>
      <w:tabs>
        <w:tab w:val="center" w:pos="4536"/>
        <w:tab w:val="right" w:pos="9072"/>
      </w:tabs>
      <w:spacing w:after="0" w:line="240" w:lineRule="auto"/>
    </w:pPr>
  </w:style>
  <w:style w:type="character" w:customStyle="1" w:styleId="En-tteCar">
    <w:name w:val="En-tête Car"/>
    <w:basedOn w:val="Policepardfaut"/>
    <w:link w:val="En-tte"/>
    <w:uiPriority w:val="99"/>
    <w:rsid w:val="00E435E3"/>
  </w:style>
  <w:style w:type="paragraph" w:styleId="Pieddepage">
    <w:name w:val="footer"/>
    <w:basedOn w:val="Normal"/>
    <w:link w:val="PieddepageCar"/>
    <w:uiPriority w:val="99"/>
    <w:unhideWhenUsed/>
    <w:rsid w:val="00E435E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435E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2DC5"/>
    <w:pPr>
      <w:jc w:val="both"/>
    </w:pPr>
    <w:rPr>
      <w:rFonts w:ascii="Calibri" w:hAnsi="Calibri"/>
    </w:rPr>
  </w:style>
  <w:style w:type="paragraph" w:styleId="Titre1">
    <w:name w:val="heading 1"/>
    <w:basedOn w:val="Normal"/>
    <w:next w:val="Normal"/>
    <w:link w:val="Titre1Car"/>
    <w:uiPriority w:val="9"/>
    <w:qFormat/>
    <w:rsid w:val="001E67F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1E67F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1E67F7"/>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rsid w:val="002D5221"/>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REF">
    <w:name w:val="REF"/>
    <w:next w:val="Normal"/>
    <w:autoRedefine/>
    <w:qFormat/>
    <w:rsid w:val="00375A02"/>
    <w:pPr>
      <w:spacing w:after="0" w:line="240" w:lineRule="auto"/>
    </w:pPr>
    <w:rPr>
      <w:rFonts w:ascii="Calibri" w:eastAsia="Times New Roman" w:hAnsi="Calibri" w:cs="Times New Roman"/>
      <w:b/>
      <w:color w:val="7030A0"/>
      <w:lang w:eastAsia="fr-FR"/>
    </w:rPr>
  </w:style>
  <w:style w:type="paragraph" w:customStyle="1" w:styleId="Rfrenceperso">
    <w:name w:val="Référence perso"/>
    <w:next w:val="Normal"/>
    <w:autoRedefine/>
    <w:qFormat/>
    <w:rsid w:val="00375A02"/>
    <w:pPr>
      <w:spacing w:after="0" w:line="240" w:lineRule="auto"/>
    </w:pPr>
    <w:rPr>
      <w:rFonts w:ascii="Calibri" w:eastAsia="Times New Roman" w:hAnsi="Calibri" w:cs="Times New Roman"/>
      <w:b/>
      <w:color w:val="7030A0"/>
      <w:lang w:eastAsia="fr-FR"/>
    </w:rPr>
  </w:style>
  <w:style w:type="paragraph" w:styleId="Citation">
    <w:name w:val="Quote"/>
    <w:basedOn w:val="Normal"/>
    <w:next w:val="Normal"/>
    <w:link w:val="CitationCar"/>
    <w:autoRedefine/>
    <w:uiPriority w:val="29"/>
    <w:qFormat/>
    <w:rsid w:val="00EE0ECB"/>
    <w:pPr>
      <w:ind w:left="567"/>
    </w:pPr>
    <w:rPr>
      <w:i/>
      <w:iCs/>
      <w:color w:val="000000" w:themeColor="text1"/>
    </w:rPr>
  </w:style>
  <w:style w:type="character" w:customStyle="1" w:styleId="CitationCar">
    <w:name w:val="Citation Car"/>
    <w:basedOn w:val="Policepardfaut"/>
    <w:link w:val="Citation"/>
    <w:uiPriority w:val="29"/>
    <w:rsid w:val="00EE0ECB"/>
    <w:rPr>
      <w:i/>
      <w:iCs/>
      <w:color w:val="000000" w:themeColor="text1"/>
    </w:rPr>
  </w:style>
  <w:style w:type="character" w:customStyle="1" w:styleId="Titre1Car">
    <w:name w:val="Titre 1 Car"/>
    <w:basedOn w:val="Policepardfaut"/>
    <w:link w:val="Titre1"/>
    <w:uiPriority w:val="9"/>
    <w:rsid w:val="001E67F7"/>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sid w:val="001E67F7"/>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rsid w:val="001E67F7"/>
    <w:rPr>
      <w:rFonts w:asciiTheme="majorHAnsi" w:eastAsiaTheme="majorEastAsia" w:hAnsiTheme="majorHAnsi" w:cstheme="majorBidi"/>
      <w:b/>
      <w:bCs/>
      <w:color w:val="4F81BD" w:themeColor="accent1"/>
    </w:rPr>
  </w:style>
  <w:style w:type="paragraph" w:styleId="Commentaire">
    <w:name w:val="annotation text"/>
    <w:basedOn w:val="Normal"/>
    <w:link w:val="CommentaireCar"/>
    <w:uiPriority w:val="99"/>
    <w:semiHidden/>
    <w:unhideWhenUsed/>
    <w:rsid w:val="00CF6DD2"/>
    <w:pPr>
      <w:spacing w:line="240" w:lineRule="auto"/>
    </w:pPr>
    <w:rPr>
      <w:sz w:val="20"/>
      <w:szCs w:val="20"/>
    </w:rPr>
  </w:style>
  <w:style w:type="character" w:customStyle="1" w:styleId="CommentaireCar">
    <w:name w:val="Commentaire Car"/>
    <w:basedOn w:val="Policepardfaut"/>
    <w:link w:val="Commentaire"/>
    <w:uiPriority w:val="99"/>
    <w:semiHidden/>
    <w:rsid w:val="00CF6DD2"/>
    <w:rPr>
      <w:sz w:val="20"/>
      <w:szCs w:val="20"/>
    </w:rPr>
  </w:style>
  <w:style w:type="character" w:styleId="Marquedecommentaire">
    <w:name w:val="annotation reference"/>
    <w:uiPriority w:val="99"/>
    <w:unhideWhenUsed/>
    <w:rsid w:val="00CF6DD2"/>
    <w:rPr>
      <w:sz w:val="16"/>
      <w:szCs w:val="16"/>
    </w:rPr>
  </w:style>
  <w:style w:type="paragraph" w:styleId="Notedebasdepage">
    <w:name w:val="footnote text"/>
    <w:basedOn w:val="Normal"/>
    <w:link w:val="NotedebasdepageCar"/>
    <w:uiPriority w:val="99"/>
    <w:semiHidden/>
    <w:unhideWhenUsed/>
    <w:rsid w:val="00CF6DD2"/>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CF6DD2"/>
    <w:rPr>
      <w:sz w:val="20"/>
      <w:szCs w:val="20"/>
    </w:rPr>
  </w:style>
  <w:style w:type="character" w:styleId="Appelnotedebasdep">
    <w:name w:val="footnote reference"/>
    <w:uiPriority w:val="99"/>
    <w:semiHidden/>
    <w:unhideWhenUsed/>
    <w:rsid w:val="00CF6DD2"/>
    <w:rPr>
      <w:vertAlign w:val="superscript"/>
    </w:rPr>
  </w:style>
  <w:style w:type="paragraph" w:styleId="Textedebulles">
    <w:name w:val="Balloon Text"/>
    <w:basedOn w:val="Normal"/>
    <w:link w:val="TextedebullesCar"/>
    <w:uiPriority w:val="99"/>
    <w:semiHidden/>
    <w:unhideWhenUsed/>
    <w:rsid w:val="00CF6DD2"/>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F6DD2"/>
    <w:rPr>
      <w:rFonts w:ascii="Tahoma" w:hAnsi="Tahoma" w:cs="Tahoma"/>
      <w:sz w:val="16"/>
      <w:szCs w:val="16"/>
    </w:rPr>
  </w:style>
  <w:style w:type="table" w:styleId="Grilledutableau">
    <w:name w:val="Table Grid"/>
    <w:basedOn w:val="TableauNormal"/>
    <w:uiPriority w:val="59"/>
    <w:rsid w:val="00CF6D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ev">
    <w:name w:val="Strong"/>
    <w:uiPriority w:val="22"/>
    <w:qFormat/>
    <w:rsid w:val="00803778"/>
    <w:rPr>
      <w:b/>
      <w:bCs/>
    </w:rPr>
  </w:style>
  <w:style w:type="paragraph" w:styleId="Titre">
    <w:name w:val="Title"/>
    <w:basedOn w:val="Normal"/>
    <w:next w:val="Normal"/>
    <w:link w:val="TitreCar"/>
    <w:uiPriority w:val="10"/>
    <w:qFormat/>
    <w:rsid w:val="0080377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803778"/>
    <w:rPr>
      <w:rFonts w:asciiTheme="majorHAnsi" w:eastAsiaTheme="majorEastAsia" w:hAnsiTheme="majorHAnsi" w:cstheme="majorBidi"/>
      <w:color w:val="17365D" w:themeColor="text2" w:themeShade="BF"/>
      <w:spacing w:val="5"/>
      <w:kern w:val="28"/>
      <w:sz w:val="52"/>
      <w:szCs w:val="52"/>
    </w:rPr>
  </w:style>
  <w:style w:type="character" w:customStyle="1" w:styleId="Titre4Car">
    <w:name w:val="Titre 4 Car"/>
    <w:basedOn w:val="Policepardfaut"/>
    <w:link w:val="Titre4"/>
    <w:uiPriority w:val="9"/>
    <w:semiHidden/>
    <w:rsid w:val="002D5221"/>
    <w:rPr>
      <w:rFonts w:asciiTheme="majorHAnsi" w:eastAsiaTheme="majorEastAsia" w:hAnsiTheme="majorHAnsi" w:cstheme="majorBidi"/>
      <w:b/>
      <w:bCs/>
      <w:i/>
      <w:iCs/>
      <w:color w:val="4F81BD" w:themeColor="accent1"/>
    </w:rPr>
  </w:style>
  <w:style w:type="character" w:styleId="Lienhypertexte">
    <w:name w:val="Hyperlink"/>
    <w:basedOn w:val="Policepardfaut"/>
    <w:uiPriority w:val="99"/>
    <w:unhideWhenUsed/>
    <w:rsid w:val="002D5221"/>
    <w:rPr>
      <w:color w:val="0000FF" w:themeColor="hyperlink"/>
      <w:u w:val="single"/>
    </w:rPr>
  </w:style>
  <w:style w:type="paragraph" w:styleId="Sansinterligne">
    <w:name w:val="No Spacing"/>
    <w:uiPriority w:val="1"/>
    <w:qFormat/>
    <w:rsid w:val="0012327C"/>
    <w:pPr>
      <w:spacing w:after="0" w:line="240" w:lineRule="auto"/>
    </w:pPr>
  </w:style>
  <w:style w:type="paragraph" w:styleId="En-ttedetabledesmatires">
    <w:name w:val="TOC Heading"/>
    <w:basedOn w:val="Titre1"/>
    <w:next w:val="Normal"/>
    <w:uiPriority w:val="39"/>
    <w:semiHidden/>
    <w:unhideWhenUsed/>
    <w:qFormat/>
    <w:rsid w:val="0012327C"/>
    <w:pPr>
      <w:outlineLvl w:val="9"/>
    </w:pPr>
    <w:rPr>
      <w:lang w:eastAsia="fr-FR"/>
    </w:rPr>
  </w:style>
  <w:style w:type="paragraph" w:styleId="TM1">
    <w:name w:val="toc 1"/>
    <w:basedOn w:val="Normal"/>
    <w:next w:val="Normal"/>
    <w:autoRedefine/>
    <w:uiPriority w:val="39"/>
    <w:unhideWhenUsed/>
    <w:rsid w:val="0012327C"/>
    <w:pPr>
      <w:spacing w:after="100"/>
    </w:pPr>
  </w:style>
  <w:style w:type="paragraph" w:styleId="TM2">
    <w:name w:val="toc 2"/>
    <w:basedOn w:val="Normal"/>
    <w:next w:val="Normal"/>
    <w:autoRedefine/>
    <w:uiPriority w:val="39"/>
    <w:unhideWhenUsed/>
    <w:rsid w:val="0012327C"/>
    <w:pPr>
      <w:spacing w:after="100"/>
      <w:ind w:left="220"/>
    </w:pPr>
  </w:style>
  <w:style w:type="paragraph" w:styleId="TM3">
    <w:name w:val="toc 3"/>
    <w:basedOn w:val="Normal"/>
    <w:next w:val="Normal"/>
    <w:autoRedefine/>
    <w:uiPriority w:val="39"/>
    <w:unhideWhenUsed/>
    <w:rsid w:val="0012327C"/>
    <w:pPr>
      <w:spacing w:after="100"/>
      <w:ind w:left="440"/>
    </w:pPr>
  </w:style>
  <w:style w:type="character" w:styleId="Rfrenceintense">
    <w:name w:val="Intense Reference"/>
    <w:basedOn w:val="Policepardfaut"/>
    <w:uiPriority w:val="32"/>
    <w:qFormat/>
    <w:rsid w:val="004D00AE"/>
    <w:rPr>
      <w:b/>
      <w:bCs/>
      <w:smallCaps/>
      <w:color w:val="C0504D" w:themeColor="accent2"/>
      <w:spacing w:val="5"/>
      <w:u w:val="single"/>
    </w:rPr>
  </w:style>
  <w:style w:type="paragraph" w:styleId="En-tte">
    <w:name w:val="header"/>
    <w:basedOn w:val="Normal"/>
    <w:link w:val="En-tteCar"/>
    <w:uiPriority w:val="99"/>
    <w:unhideWhenUsed/>
    <w:rsid w:val="00E435E3"/>
    <w:pPr>
      <w:tabs>
        <w:tab w:val="center" w:pos="4536"/>
        <w:tab w:val="right" w:pos="9072"/>
      </w:tabs>
      <w:spacing w:after="0" w:line="240" w:lineRule="auto"/>
    </w:pPr>
  </w:style>
  <w:style w:type="character" w:customStyle="1" w:styleId="En-tteCar">
    <w:name w:val="En-tête Car"/>
    <w:basedOn w:val="Policepardfaut"/>
    <w:link w:val="En-tte"/>
    <w:uiPriority w:val="99"/>
    <w:rsid w:val="00E435E3"/>
  </w:style>
  <w:style w:type="paragraph" w:styleId="Pieddepage">
    <w:name w:val="footer"/>
    <w:basedOn w:val="Normal"/>
    <w:link w:val="PieddepageCar"/>
    <w:uiPriority w:val="99"/>
    <w:unhideWhenUsed/>
    <w:rsid w:val="00E435E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435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3549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comments" Target="comments.xml"/><Relationship Id="rId4" Type="http://schemas.microsoft.com/office/2007/relationships/stylesWithEffects" Target="stylesWithEffects.xml"/><Relationship Id="rId9" Type="http://schemas.openxmlformats.org/officeDocument/2006/relationships/hyperlink" Target="mailto:gaelle.crenn@univ-lorraine.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FBD849-4159-4856-BA33-1441361AF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TotalTime>
  <Pages>1</Pages>
  <Words>8459</Words>
  <Characters>46526</Characters>
  <Application>Microsoft Office Word</Application>
  <DocSecurity>0</DocSecurity>
  <Lines>387</Lines>
  <Paragraphs>109</Paragraphs>
  <ScaleCrop>false</ScaleCrop>
  <HeadingPairs>
    <vt:vector size="2" baseType="variant">
      <vt:variant>
        <vt:lpstr>Titre</vt:lpstr>
      </vt:variant>
      <vt:variant>
        <vt:i4>1</vt:i4>
      </vt:variant>
    </vt:vector>
  </HeadingPairs>
  <TitlesOfParts>
    <vt:vector size="1" baseType="lpstr">
      <vt:lpstr/>
    </vt:vector>
  </TitlesOfParts>
  <Company>IUT Nancy Charlemagne</Company>
  <LinksUpToDate>false</LinksUpToDate>
  <CharactersWithSpaces>54876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crenn5</dc:creator>
  <cp:keywords/>
  <dc:description/>
  <cp:lastModifiedBy>Gaelle Crenn</cp:lastModifiedBy>
  <cp:revision>9</cp:revision>
  <dcterms:created xsi:type="dcterms:W3CDTF">2014-03-19T09:05:00Z</dcterms:created>
  <dcterms:modified xsi:type="dcterms:W3CDTF">2014-04-22T07:44:00Z</dcterms:modified>
</cp:coreProperties>
</file>